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017D0C">
      <w:pPr>
        <w:pStyle w:val="2"/>
        <w:keepNext w:val="0"/>
        <w:keepLines w:val="0"/>
        <w:widowControl/>
        <w:suppressLineNumbers w:val="0"/>
        <w:shd w:val="clear" w:fill="FFFFFF"/>
        <w:spacing w:before="320" w:beforeAutospacing="0" w:after="160" w:afterAutospacing="0" w:line="340" w:lineRule="atLeast"/>
        <w:ind w:left="0" w:right="0" w:firstLine="0"/>
        <w:jc w:val="center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8"/>
          <w:szCs w:val="28"/>
          <w:shd w:val="clear" w:fill="FFFFFF"/>
        </w:rPr>
        <w:t>Adamax Dosage Protocol Comprehensive Guide (10 mg Vial)</w:t>
      </w:r>
    </w:p>
    <w:p w14:paraId="04E3A567">
      <w:pPr>
        <w:pStyle w:val="2"/>
        <w:keepNext w:val="0"/>
        <w:keepLines w:val="0"/>
        <w:widowControl/>
        <w:suppressLineNumbers w:val="0"/>
        <w:shd w:val="clear" w:fill="FFFFFF"/>
        <w:spacing w:before="320" w:beforeAutospacing="0" w:after="160" w:afterAutospacing="0" w:line="340" w:lineRule="atLeast"/>
        <w:ind w:left="0" w:right="0" w:firstLine="0"/>
        <w:jc w:val="both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0"/>
          <w:szCs w:val="20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0"/>
          <w:szCs w:val="20"/>
          <w:shd w:val="clear" w:fill="FFFFFF"/>
        </w:rPr>
        <w:t>I. Overview</w:t>
      </w:r>
    </w:p>
    <w:p w14:paraId="196907B0">
      <w:pPr>
        <w:pStyle w:val="5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Adamax is an adamantane-modified Semax analog (N-acetyl Semax amidate), a heptapeptide derivative of ACTH(4–10), studied for nootropic and neuroprotective properties[1][2]. The adamantane moiety enhances blood-brain barrier penetration and peptide stability, making it more potent than standard Semax[3]. In educational protocols, Adamax is typically administered at 300 mcg–1 mg daily via subcutaneous injection. A 10 mg vial reconstituted with bacteriostatic water yields a concentration of approximately 3.33 mg/mL.</w:t>
      </w:r>
    </w:p>
    <w:p w14:paraId="745B5167">
      <w:pPr>
        <w:pStyle w:val="5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This guide covers the dosage protocol for the 10 mg specification of Adamax.</w:t>
      </w:r>
    </w:p>
    <w:p w14:paraId="7CC69176">
      <w:pPr>
        <w:pStyle w:val="3"/>
        <w:keepNext w:val="0"/>
        <w:keepLines w:val="0"/>
        <w:widowControl/>
        <w:suppressLineNumbers w:val="0"/>
        <w:shd w:val="clear" w:fill="FFFFFF"/>
        <w:spacing w:before="320" w:beforeAutospacing="0" w:after="160" w:afterAutospacing="0" w:line="3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0"/>
          <w:szCs w:val="20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0"/>
          <w:szCs w:val="20"/>
          <w:shd w:val="clear" w:fill="FFFFFF"/>
        </w:rPr>
        <w:t>II. Dosage and Reconstitution Guide</w:t>
      </w:r>
    </w:p>
    <w:p w14:paraId="5F3B4152">
      <w:pPr>
        <w:pStyle w:val="4"/>
        <w:keepNext w:val="0"/>
        <w:keepLines w:val="0"/>
        <w:widowControl/>
        <w:suppressLineNumbers w:val="0"/>
        <w:shd w:val="clear" w:fill="FFFFFF"/>
        <w:spacing w:before="320" w:beforeAutospacing="0" w:after="160" w:afterAutospacing="0" w:line="30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18"/>
          <w:szCs w:val="18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18"/>
          <w:szCs w:val="18"/>
          <w:shd w:val="clear" w:fill="FFFFFF"/>
        </w:rPr>
        <w:t>2.1 10 mg Specification</w:t>
      </w:r>
    </w:p>
    <w:p w14:paraId="2CBB9D50">
      <w:pPr>
        <w:pStyle w:val="5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Reconstitution: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 xml:space="preserve"> Add 3.0 mL bacteriostatic water → concentration approximately 3.33 mg/mL</w:t>
      </w:r>
    </w:p>
    <w:p w14:paraId="30E14022">
      <w:pPr>
        <w:pStyle w:val="5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U-100 insulin syringe conversion: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 xml:space="preserve"> 1 unit = 0.01 mL ≈ 33.33 mcg (0.03333 mg)</w:t>
      </w:r>
    </w:p>
    <w:p w14:paraId="29D2344C">
      <w:pPr>
        <w:pStyle w:val="5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Post-reconstitution shelf life: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 xml:space="preserve"> Use under refrigeration (2–8°C); avoid freeze-thaw cycles</w:t>
      </w:r>
    </w:p>
    <w:p w14:paraId="5DE895B1">
      <w:pPr>
        <w:pStyle w:val="5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5"/>
          <w:szCs w:val="15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5"/>
          <w:szCs w:val="15"/>
          <w:shd w:val="clear" w:fill="FFFFFF"/>
        </w:rPr>
        <w:t>Standard/gradual protocol (concentration 3.33 mg/mL):</w:t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73"/>
        <w:gridCol w:w="1003"/>
        <w:gridCol w:w="1566"/>
        <w:gridCol w:w="1545"/>
        <w:gridCol w:w="729"/>
      </w:tblGrid>
      <w:tr w14:paraId="2EB73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Header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C5AA6CF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Phase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F29E66D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Weeks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2892397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Daily Dose (mcg / mg)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9D384BB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Injection Volume (mL)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9928A6A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Units</w:t>
            </w:r>
          </w:p>
        </w:tc>
      </w:tr>
      <w:tr w14:paraId="7F8BD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651ED09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Initial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85CE474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Weeks 1–2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2EBF21C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300 mcg (0.3 mg)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B00442C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0.09 mL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E612545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9 units</w:t>
            </w:r>
          </w:p>
        </w:tc>
      </w:tr>
      <w:tr w14:paraId="4C823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86A0255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Escalation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8E58C5B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Weeks 3–4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E9199A4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500 mcg (0.5 mg)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FC64C20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0.15 mL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B140248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15 units</w:t>
            </w:r>
          </w:p>
        </w:tc>
      </w:tr>
      <w:tr w14:paraId="02BE0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847C517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Escalation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6ED902B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Weeks 5–6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E0A6337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750 mcg (0.75 mg)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8D22950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0.23 mL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6C8EB11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23 units</w:t>
            </w:r>
          </w:p>
        </w:tc>
      </w:tr>
      <w:tr w14:paraId="6FF234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07A789C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Maintenance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E3A32B1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Weeks 7–8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C104CBD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1,000 mcg (1.0 mg)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5112AE2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0.30 mL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15CAEB5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30 units</w:t>
            </w:r>
          </w:p>
        </w:tc>
      </w:tr>
    </w:tbl>
    <w:p w14:paraId="51BBDDBA">
      <w:pPr>
        <w:pStyle w:val="5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Injection frequency: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 xml:space="preserve"> Once daily (subcutaneous injection)</w:t>
      </w:r>
    </w:p>
    <w:p w14:paraId="05CC364E">
      <w:pPr>
        <w:pStyle w:val="5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Cycle length: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 xml:space="preserve"> 8–12 weeks; optional extension to 16 weeks</w:t>
      </w:r>
    </w:p>
    <w:p w14:paraId="00CBB4F8">
      <w:pPr>
        <w:pStyle w:val="5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Note: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 xml:space="preserve"> This protocol uses the maximum practical dilution volume (3.0 mL) to keep the unit count per injection clearly readable. For the 300 mcg starting dose (9 units = 0.09 mL), using a 30- or 50-unit insulin syringe is recommended to improve readability.</w:t>
      </w:r>
    </w:p>
    <w:p w14:paraId="485003BC">
      <w:pPr>
        <w:pStyle w:val="3"/>
        <w:keepNext w:val="0"/>
        <w:keepLines w:val="0"/>
        <w:widowControl/>
        <w:suppressLineNumbers w:val="0"/>
        <w:shd w:val="clear" w:fill="FFFFFF"/>
        <w:spacing w:before="320" w:beforeAutospacing="0" w:after="160" w:afterAutospacing="0" w:line="3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0"/>
          <w:szCs w:val="20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0"/>
          <w:szCs w:val="20"/>
          <w:shd w:val="clear" w:fill="FFFFFF"/>
        </w:rPr>
        <w:t>III. Reconstitution Steps (General)</w:t>
      </w:r>
    </w:p>
    <w:p w14:paraId="0E437DF2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sz w:val="13"/>
          <w:szCs w:val="13"/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  <w:lang w:val="en-US" w:eastAsia="zh-CN"/>
        </w:rPr>
        <w:t>1、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Draw 3.0 mL bacteriostatic water with a sterile syringe</w:t>
      </w:r>
    </w:p>
    <w:p w14:paraId="74EEFDB9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sz w:val="13"/>
          <w:szCs w:val="13"/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  <w:lang w:val="en-US" w:eastAsia="zh-CN"/>
        </w:rPr>
        <w:t>2、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Insert the needle through the vial stopper; allow the diluent to run slowly down the vial wall to avoid foaming</w:t>
      </w:r>
    </w:p>
    <w:p w14:paraId="072E0DCC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sz w:val="13"/>
          <w:szCs w:val="13"/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  <w:lang w:val="en-US" w:eastAsia="zh-CN"/>
        </w:rPr>
        <w:t>3、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Gently swirl/roll until the powder is completely dissolved (do not shake vigorously)</w:t>
      </w:r>
    </w:p>
    <w:p w14:paraId="43D99B81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sz w:val="13"/>
          <w:szCs w:val="13"/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  <w:lang w:val="en-US" w:eastAsia="zh-CN"/>
        </w:rPr>
        <w:t>4、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Label with reconstitution date and concentration; refrigerate at 2–8°C / 35.6–46.4°F, protected from light</w:t>
      </w:r>
    </w:p>
    <w:p w14:paraId="43DF5EB8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sz w:val="13"/>
          <w:szCs w:val="13"/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  <w:lang w:val="en-US" w:eastAsia="zh-CN"/>
        </w:rPr>
        <w:t>5、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Avoid freeze-thaw cycles after reconstitution; discard if cloudiness or particles appear</w:t>
      </w:r>
    </w:p>
    <w:p w14:paraId="337C0C73">
      <w:pPr>
        <w:pStyle w:val="3"/>
        <w:keepNext w:val="0"/>
        <w:keepLines w:val="0"/>
        <w:widowControl/>
        <w:suppressLineNumbers w:val="0"/>
        <w:shd w:val="clear" w:fill="FFFFFF"/>
        <w:spacing w:before="320" w:beforeAutospacing="0" w:after="160" w:afterAutospacing="0" w:line="3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0"/>
          <w:szCs w:val="20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0"/>
          <w:szCs w:val="20"/>
          <w:shd w:val="clear" w:fill="FFFFFF"/>
        </w:rPr>
        <w:t>IV. Supplies Needed</w:t>
      </w:r>
    </w:p>
    <w:p w14:paraId="6B451075">
      <w:pPr>
        <w:pStyle w:val="5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Plan based on an 8–16 week daily protocol with gradual dose adjustment.</w:t>
      </w:r>
    </w:p>
    <w:p w14:paraId="3CB9C46A">
      <w:pPr>
        <w:pStyle w:val="4"/>
        <w:keepNext w:val="0"/>
        <w:keepLines w:val="0"/>
        <w:widowControl/>
        <w:suppressLineNumbers w:val="0"/>
        <w:shd w:val="clear" w:fill="FFFFFF"/>
        <w:spacing w:before="320" w:beforeAutospacing="0" w:after="160" w:afterAutospacing="0" w:line="30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13"/>
          <w:szCs w:val="13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13"/>
          <w:szCs w:val="13"/>
          <w:shd w:val="clear" w:fill="FFFFFF"/>
        </w:rPr>
        <w:t>4.1 Peptide Vials (Adamax, 10 mg each)</w:t>
      </w:r>
    </w:p>
    <w:tbl>
      <w:tblPr>
        <w:tblW w:w="411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02"/>
        <w:gridCol w:w="1471"/>
        <w:gridCol w:w="1540"/>
      </w:tblGrid>
      <w:tr w14:paraId="6C9A0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71CE2DA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Cycle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D4562CB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Vials Needed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4E3AD85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Total Amount</w:t>
            </w:r>
          </w:p>
        </w:tc>
      </w:tr>
      <w:tr w14:paraId="1ACA9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3EB2469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8 weeks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A761241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~4 vials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314E68E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~35.7 mg</w:t>
            </w:r>
          </w:p>
        </w:tc>
      </w:tr>
      <w:tr w14:paraId="29194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B4DAAA6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12 weeks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AE75CDB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~7 vials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7F0EC7C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~60.2 mg</w:t>
            </w:r>
          </w:p>
        </w:tc>
      </w:tr>
      <w:tr w14:paraId="19EB6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ECE704C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16 weeks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8E828AC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~9 vials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F840038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~88.2 mg</w:t>
            </w:r>
          </w:p>
        </w:tc>
      </w:tr>
    </w:tbl>
    <w:p w14:paraId="37848733">
      <w:pPr>
        <w:pStyle w:val="4"/>
        <w:keepNext w:val="0"/>
        <w:keepLines w:val="0"/>
        <w:widowControl/>
        <w:suppressLineNumbers w:val="0"/>
        <w:shd w:val="clear" w:fill="FFFFFF"/>
        <w:spacing w:before="320" w:beforeAutospacing="0" w:after="160" w:afterAutospacing="0" w:line="30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13"/>
          <w:szCs w:val="13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13"/>
          <w:szCs w:val="13"/>
          <w:shd w:val="clear" w:fill="FFFFFF"/>
        </w:rPr>
        <w:t>4.2 Syringes (U-100 Insulin Syringes)</w:t>
      </w:r>
    </w:p>
    <w:tbl>
      <w:tblPr>
        <w:tblW w:w="427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44"/>
        <w:gridCol w:w="1678"/>
        <w:gridCol w:w="1552"/>
      </w:tblGrid>
      <w:tr w14:paraId="22802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A712677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Cycle</w:t>
            </w:r>
          </w:p>
        </w:tc>
        <w:tc>
          <w:tcPr>
            <w:tcW w:w="1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BFC94F8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Per Week</w:t>
            </w:r>
          </w:p>
        </w:tc>
        <w:tc>
          <w:tcPr>
            <w:tcW w:w="1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98EF36D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Total</w:t>
            </w:r>
          </w:p>
        </w:tc>
      </w:tr>
      <w:tr w14:paraId="1150A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5193FC0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8 weeks</w:t>
            </w:r>
          </w:p>
        </w:tc>
        <w:tc>
          <w:tcPr>
            <w:tcW w:w="1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8853E0C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7 syringes (1/day)</w:t>
            </w:r>
          </w:p>
        </w:tc>
        <w:tc>
          <w:tcPr>
            <w:tcW w:w="1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D96086A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56 syringes</w:t>
            </w:r>
          </w:p>
        </w:tc>
      </w:tr>
      <w:tr w14:paraId="126ED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FD4CFCB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12 weeks</w:t>
            </w:r>
          </w:p>
        </w:tc>
        <w:tc>
          <w:tcPr>
            <w:tcW w:w="1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6D20689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7 syringes (1/day)</w:t>
            </w:r>
          </w:p>
        </w:tc>
        <w:tc>
          <w:tcPr>
            <w:tcW w:w="1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76B7321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84 syringes</w:t>
            </w:r>
          </w:p>
        </w:tc>
      </w:tr>
      <w:tr w14:paraId="7747F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761CBE2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16 weeks</w:t>
            </w:r>
          </w:p>
        </w:tc>
        <w:tc>
          <w:tcPr>
            <w:tcW w:w="1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F3BBEC7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7 syringes (1/day)</w:t>
            </w:r>
          </w:p>
        </w:tc>
        <w:tc>
          <w:tcPr>
            <w:tcW w:w="1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A4236E7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112 syringes</w:t>
            </w:r>
          </w:p>
        </w:tc>
      </w:tr>
    </w:tbl>
    <w:p w14:paraId="4632B179">
      <w:pPr>
        <w:pStyle w:val="4"/>
        <w:keepNext w:val="0"/>
        <w:keepLines w:val="0"/>
        <w:widowControl/>
        <w:suppressLineNumbers w:val="0"/>
        <w:shd w:val="clear" w:fill="FFFFFF"/>
        <w:spacing w:before="320" w:beforeAutospacing="0" w:after="160" w:afterAutospacing="0" w:line="30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13"/>
          <w:szCs w:val="13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13"/>
          <w:szCs w:val="13"/>
          <w:shd w:val="clear" w:fill="FFFFFF"/>
        </w:rPr>
        <w:t>4.3 Bacteriostatic Water (10 mL Bottles)</w:t>
      </w:r>
    </w:p>
    <w:p w14:paraId="0F875F90">
      <w:pPr>
        <w:pStyle w:val="5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Use ~3.0 mL per vial for reconstitution.</w:t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85"/>
        <w:gridCol w:w="1119"/>
        <w:gridCol w:w="1127"/>
        <w:gridCol w:w="1139"/>
      </w:tblGrid>
      <w:tr w14:paraId="0F1F1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56E5646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Cycle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26FB721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Vials Needed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E2D7121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Total Volume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D9F69C3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10 mL Bottles</w:t>
            </w:r>
          </w:p>
        </w:tc>
      </w:tr>
      <w:tr w14:paraId="44783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EAC53F7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8 weeks (4 vials)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601C3D8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C500F3A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12 mL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8EF514C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2 bottles</w:t>
            </w:r>
          </w:p>
        </w:tc>
      </w:tr>
      <w:tr w14:paraId="61132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CE8FBDE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12 weeks (7 vials)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85E3F8A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A96C094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21 mL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B279948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3 bottles</w:t>
            </w:r>
          </w:p>
        </w:tc>
      </w:tr>
      <w:tr w14:paraId="1C05A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EBE670F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16 weeks (9 vials)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43E061B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BE7EA33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27 mL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901C83C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3 bottles</w:t>
            </w:r>
          </w:p>
        </w:tc>
      </w:tr>
    </w:tbl>
    <w:p w14:paraId="1FC6D364">
      <w:pPr>
        <w:pStyle w:val="4"/>
        <w:keepNext w:val="0"/>
        <w:keepLines w:val="0"/>
        <w:widowControl/>
        <w:suppressLineNumbers w:val="0"/>
        <w:shd w:val="clear" w:fill="FFFFFF"/>
        <w:spacing w:before="320" w:beforeAutospacing="0" w:after="160" w:afterAutospacing="0" w:line="30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13"/>
          <w:szCs w:val="13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13"/>
          <w:szCs w:val="13"/>
          <w:shd w:val="clear" w:fill="FFFFFF"/>
        </w:rPr>
        <w:t>4.4 Alcohol Swabs</w:t>
      </w:r>
    </w:p>
    <w:p w14:paraId="4BACA48C">
      <w:pPr>
        <w:pStyle w:val="5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One for the vial stopper + one for the injection site each day.</w:t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90"/>
        <w:gridCol w:w="1295"/>
        <w:gridCol w:w="982"/>
        <w:gridCol w:w="1202"/>
      </w:tblGrid>
      <w:tr w14:paraId="1CB64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7CE46CB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Cycle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8130516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Per Week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860808A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Total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80A13B3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100-count/box</w:t>
            </w:r>
          </w:p>
        </w:tc>
      </w:tr>
      <w:tr w14:paraId="3A794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E07665D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8 weeks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10238DE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14 swabs (2/day)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55B9B0B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112 swabs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3BE8B93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2 boxes</w:t>
            </w:r>
          </w:p>
        </w:tc>
      </w:tr>
      <w:tr w14:paraId="760FA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A96A744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12 weeks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E675F3A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14 swabs (2/day)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9C52598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168 swabs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BCCE5B1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2 boxes</w:t>
            </w:r>
          </w:p>
        </w:tc>
      </w:tr>
      <w:tr w14:paraId="40DF4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C9BBB39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16 weeks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0E95FB9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14 swabs (2/day)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3C6B8AC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224 swabs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72215E9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Segoe UI" w:hAnsi="Segoe UI" w:eastAsia="Segoe UI" w:cs="Segoe UI"/>
                <w:sz w:val="11"/>
                <w:szCs w:val="11"/>
              </w:rPr>
            </w:pPr>
            <w:r>
              <w:rPr>
                <w:rFonts w:hint="default" w:ascii="Segoe UI" w:hAnsi="Segoe UI" w:eastAsia="Segoe UI" w:cs="Segoe UI"/>
                <w:kern w:val="0"/>
                <w:sz w:val="11"/>
                <w:szCs w:val="11"/>
                <w:bdr w:val="none" w:color="auto" w:sz="0" w:space="0"/>
                <w:lang w:val="en-US" w:eastAsia="zh-CN" w:bidi="ar"/>
              </w:rPr>
              <w:t>3 boxes</w:t>
            </w:r>
          </w:p>
        </w:tc>
      </w:tr>
    </w:tbl>
    <w:p w14:paraId="135FD54E">
      <w:pPr>
        <w:pStyle w:val="3"/>
        <w:keepNext w:val="0"/>
        <w:keepLines w:val="0"/>
        <w:widowControl/>
        <w:suppressLineNumbers w:val="0"/>
        <w:shd w:val="clear" w:fill="FFFFFF"/>
        <w:spacing w:before="320" w:beforeAutospacing="0" w:after="160" w:afterAutospacing="0" w:line="3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0"/>
          <w:szCs w:val="20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0"/>
          <w:szCs w:val="20"/>
          <w:shd w:val="clear" w:fill="FFFFFF"/>
        </w:rPr>
        <w:t>V. Protocol Overview</w:t>
      </w:r>
    </w:p>
    <w:p w14:paraId="48999009">
      <w:pPr>
        <w:pStyle w:val="5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Concise summary of the once-daily regimen.</w:t>
      </w:r>
    </w:p>
    <w:p w14:paraId="266E5641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sz w:val="13"/>
          <w:szCs w:val="13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Goal: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 xml:space="preserve"> Support cognitive enhancement, neuroprotection, and neuroplasticity via BDNF upregulation[4][5]</w:t>
      </w:r>
    </w:p>
    <w:p w14:paraId="5D772ABB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sz w:val="13"/>
          <w:szCs w:val="13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Schedule: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 xml:space="preserve"> Daily subcutaneous injections for 8–12 weeks (extend to 16 weeks if desired), followed by an equal off-cycle period</w:t>
      </w:r>
    </w:p>
    <w:p w14:paraId="7EF5A688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sz w:val="13"/>
          <w:szCs w:val="13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Dose Range: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 xml:space="preserve"> 300–1,000 mcg daily with gradual titration (500 mcg is typical mid-range)</w:t>
      </w:r>
    </w:p>
    <w:p w14:paraId="1EFFF94E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sz w:val="13"/>
          <w:szCs w:val="13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Reconstitution: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 xml:space="preserve"> 3.0 mL per 10 mg vial (~3.33 mg/mL) for accurate unit measurements</w:t>
      </w:r>
    </w:p>
    <w:p w14:paraId="3B7B61AA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sz w:val="13"/>
          <w:szCs w:val="13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Storage: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 xml:space="preserve"> Lyophilized powder frozen; reconstituted refrigerated; avoid repeated freeze-thaw</w:t>
      </w:r>
    </w:p>
    <w:p w14:paraId="4756914E">
      <w:pPr>
        <w:pStyle w:val="3"/>
        <w:keepNext w:val="0"/>
        <w:keepLines w:val="0"/>
        <w:widowControl/>
        <w:suppressLineNumbers w:val="0"/>
        <w:shd w:val="clear" w:fill="FFFFFF"/>
        <w:spacing w:before="320" w:beforeAutospacing="0" w:after="160" w:afterAutospacing="0" w:line="3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0"/>
          <w:szCs w:val="20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0"/>
          <w:szCs w:val="20"/>
          <w:shd w:val="clear" w:fill="FFFFFF"/>
        </w:rPr>
        <w:t>VI. Dosing Protocol</w:t>
      </w:r>
    </w:p>
    <w:p w14:paraId="39498618">
      <w:pPr>
        <w:pStyle w:val="5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Suggested daily titration approach.</w:t>
      </w:r>
    </w:p>
    <w:p w14:paraId="0EDF46A0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sz w:val="13"/>
          <w:szCs w:val="13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Start: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 xml:space="preserve"> 300 mcg daily for 2 weeks (Weeks 1–2); allows adaptation to peptide effects</w:t>
      </w:r>
    </w:p>
    <w:p w14:paraId="5FD9B6BE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sz w:val="13"/>
          <w:szCs w:val="13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Increase: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 xml:space="preserve"> 500 mcg daily (Weeks 3–4), then 750 mcg (Weeks 5–6)</w:t>
      </w:r>
    </w:p>
    <w:p w14:paraId="6DDA7EE2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sz w:val="13"/>
          <w:szCs w:val="13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Maintenance: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 xml:space="preserve"> 1,000 mcg daily (Week 7+) for continued nootropic support</w:t>
      </w:r>
    </w:p>
    <w:p w14:paraId="76836420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sz w:val="13"/>
          <w:szCs w:val="13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Frequency: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 xml:space="preserve"> Once daily (subcutaneous), preferably in the morning for consistency</w:t>
      </w:r>
    </w:p>
    <w:p w14:paraId="524050F4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sz w:val="13"/>
          <w:szCs w:val="13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Cycle Length: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 xml:space="preserve"> 8–12 weeks; optional extension to 16 weeks with careful monitoring</w:t>
      </w:r>
    </w:p>
    <w:p w14:paraId="06D15A8E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sz w:val="13"/>
          <w:szCs w:val="13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Off-Cycle: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 xml:space="preserve"> Equal duration break (e.g., 8 weeks on, 8 weeks off) to prevent tolerance</w:t>
      </w:r>
    </w:p>
    <w:p w14:paraId="7394012C">
      <w:pPr>
        <w:pStyle w:val="3"/>
        <w:keepNext w:val="0"/>
        <w:keepLines w:val="0"/>
        <w:widowControl/>
        <w:suppressLineNumbers w:val="0"/>
        <w:shd w:val="clear" w:fill="FFFFFF"/>
        <w:spacing w:before="320" w:beforeAutospacing="0" w:after="160" w:afterAutospacing="0" w:line="3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0"/>
          <w:szCs w:val="20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0"/>
          <w:szCs w:val="20"/>
          <w:shd w:val="clear" w:fill="FFFFFF"/>
        </w:rPr>
        <w:t>VII. Storage Instructions</w:t>
      </w:r>
    </w:p>
    <w:p w14:paraId="1A49C1AC">
      <w:pPr>
        <w:pStyle w:val="5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Proper storage preserves peptide integrity and potency.</w:t>
      </w:r>
    </w:p>
    <w:p w14:paraId="047CC8A4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sz w:val="13"/>
          <w:szCs w:val="13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Lyophilized: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 xml:space="preserve"> Store at −20°C (−4°F) in dry, dark conditions; keep in original packaging to minimize moisture exposure</w:t>
      </w:r>
    </w:p>
    <w:p w14:paraId="235E81B0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sz w:val="13"/>
          <w:szCs w:val="13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Reconstituted: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 xml:space="preserve"> Refrigerate at 2–8°C (35.6–46.4°F); follow the specific preparation's validated use-by and sterile-handling instructions</w:t>
      </w:r>
    </w:p>
    <w:p w14:paraId="51C22D82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sz w:val="13"/>
          <w:szCs w:val="13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Avoid Freeze-Thaw: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 xml:space="preserve"> Do not refreeze reconstituted solution; freeze-thaw cycles denature peptides</w:t>
      </w:r>
    </w:p>
    <w:p w14:paraId="2CDFFEA3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sz w:val="13"/>
          <w:szCs w:val="13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Allow vials to reach room temperature before opening to reduce condensation absorption</w:t>
      </w:r>
    </w:p>
    <w:p w14:paraId="783A0924">
      <w:pPr>
        <w:pStyle w:val="3"/>
        <w:keepNext w:val="0"/>
        <w:keepLines w:val="0"/>
        <w:widowControl/>
        <w:suppressLineNumbers w:val="0"/>
        <w:shd w:val="clear" w:fill="FFFFFF"/>
        <w:spacing w:before="320" w:beforeAutospacing="0" w:after="160" w:afterAutospacing="0" w:line="3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0"/>
          <w:szCs w:val="20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0"/>
          <w:szCs w:val="20"/>
          <w:shd w:val="clear" w:fill="FFFFFF"/>
        </w:rPr>
        <w:t>VIII. Important Notes</w:t>
      </w:r>
    </w:p>
    <w:p w14:paraId="5CCDBFE9">
      <w:pPr>
        <w:pStyle w:val="5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Practical considerations for consistency and safety.</w:t>
      </w:r>
    </w:p>
    <w:p w14:paraId="0C9DDE4B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sz w:val="13"/>
          <w:szCs w:val="13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Use new sterile insulin syringes for each injection; dispose in a sharps container</w:t>
      </w:r>
    </w:p>
    <w:p w14:paraId="4F7DE757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sz w:val="13"/>
          <w:szCs w:val="13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Rotate injection sites (abdomen, thighs, upper arms) to reduce local irritation and lipohypertrophy</w:t>
      </w:r>
    </w:p>
    <w:p w14:paraId="01617D0B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sz w:val="13"/>
          <w:szCs w:val="13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Inject slowly and steadily; wait a few seconds before withdrawing the needle to prevent leakage</w:t>
      </w:r>
    </w:p>
    <w:p w14:paraId="1F220EF4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sz w:val="13"/>
          <w:szCs w:val="13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Document daily dose, injection site, and any subjective effects (cognition, mood, sleep) to track response</w:t>
      </w:r>
    </w:p>
    <w:p w14:paraId="3D498EF4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sz w:val="13"/>
          <w:szCs w:val="13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For doses below 10 units (Weeks 1–2: 9 units), consider using 30- or 50-unit insulin syringes for better precision</w:t>
      </w:r>
    </w:p>
    <w:p w14:paraId="193C54DA">
      <w:pPr>
        <w:pStyle w:val="3"/>
        <w:keepNext w:val="0"/>
        <w:keepLines w:val="0"/>
        <w:widowControl/>
        <w:suppressLineNumbers w:val="0"/>
        <w:shd w:val="clear" w:fill="FFFFFF"/>
        <w:spacing w:before="320" w:beforeAutospacing="0" w:after="160" w:afterAutospacing="0" w:line="3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0"/>
          <w:szCs w:val="20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0"/>
          <w:szCs w:val="20"/>
          <w:shd w:val="clear" w:fill="FFFFFF"/>
        </w:rPr>
        <w:t>IX. Potential Benefits and Side Effects</w:t>
      </w:r>
    </w:p>
    <w:p w14:paraId="77036A3F">
      <w:pPr>
        <w:pStyle w:val="5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Observations from preclinical literature and Semax clinical studies.</w:t>
      </w:r>
    </w:p>
    <w:p w14:paraId="46156CC7">
      <w:pPr>
        <w:pStyle w:val="4"/>
        <w:keepNext w:val="0"/>
        <w:keepLines w:val="0"/>
        <w:widowControl/>
        <w:suppressLineNumbers w:val="0"/>
        <w:shd w:val="clear" w:fill="FFFFFF"/>
        <w:spacing w:before="320" w:beforeAutospacing="0" w:after="160" w:afterAutospacing="0" w:line="30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13"/>
          <w:szCs w:val="13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13"/>
          <w:szCs w:val="13"/>
          <w:shd w:val="clear" w:fill="FFFFFF"/>
        </w:rPr>
        <w:t>Potential Benefits</w:t>
      </w:r>
    </w:p>
    <w:p w14:paraId="33ED4FE9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sz w:val="13"/>
          <w:szCs w:val="13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Enhanced cognitive function: improved learning, memory consolidation, and mental clarity[4][7]</w:t>
      </w:r>
    </w:p>
    <w:p w14:paraId="71667FD2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sz w:val="13"/>
          <w:szCs w:val="13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Neuroprotection: supports neuronal survival and recovery in ischemic or oxidative stress models[8]</w:t>
      </w:r>
    </w:p>
    <w:p w14:paraId="2D890B77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sz w:val="13"/>
          <w:szCs w:val="13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Mood support: modulates dopamine and serotonin systems, potentially improving stress resilience and reducing anxiety[6]</w:t>
      </w:r>
    </w:p>
    <w:p w14:paraId="37993608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sz w:val="13"/>
          <w:szCs w:val="13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Neuroplasticity: increases BDNF levels, promoting synaptic growth and neural connectivity[5]</w:t>
      </w:r>
    </w:p>
    <w:p w14:paraId="668CBBB0">
      <w:pPr>
        <w:pStyle w:val="4"/>
        <w:keepNext w:val="0"/>
        <w:keepLines w:val="0"/>
        <w:widowControl/>
        <w:suppressLineNumbers w:val="0"/>
        <w:shd w:val="clear" w:fill="FFFFFF"/>
        <w:spacing w:before="320" w:beforeAutospacing="0" w:after="160" w:afterAutospacing="0" w:line="30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13"/>
          <w:szCs w:val="13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13"/>
          <w:szCs w:val="13"/>
          <w:shd w:val="clear" w:fill="FFFFFF"/>
        </w:rPr>
        <w:t>Safety and Side Effects</w:t>
      </w:r>
    </w:p>
    <w:p w14:paraId="06F2334C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sz w:val="13"/>
          <w:szCs w:val="13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Generally well tolerated in Semax studies; no major adverse effects reported in short-term human trials[9]</w:t>
      </w:r>
    </w:p>
    <w:p w14:paraId="125307EB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sz w:val="13"/>
          <w:szCs w:val="13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Mild injection-site reactions (redness, itching, minor discomfort) may occur with subcutaneous administration</w:t>
      </w:r>
    </w:p>
    <w:p w14:paraId="17D02289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sz w:val="13"/>
          <w:szCs w:val="13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Limited long-term human data on Adamax specifically; safety extrapolated from Semax clinical use</w:t>
      </w:r>
    </w:p>
    <w:p w14:paraId="354843B9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sz w:val="13"/>
          <w:szCs w:val="13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No significant IGF-1 elevation or metabolic disruption observed with Semax-class peptides[9]</w:t>
      </w:r>
    </w:p>
    <w:p w14:paraId="0994E7A6">
      <w:pPr>
        <w:pStyle w:val="3"/>
        <w:keepNext w:val="0"/>
        <w:keepLines w:val="0"/>
        <w:widowControl/>
        <w:suppressLineNumbers w:val="0"/>
        <w:shd w:val="clear" w:fill="FFFFFF"/>
        <w:spacing w:before="320" w:beforeAutospacing="0" w:after="160" w:afterAutospacing="0" w:line="3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0"/>
          <w:szCs w:val="20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0"/>
          <w:szCs w:val="20"/>
          <w:shd w:val="clear" w:fill="FFFFFF"/>
        </w:rPr>
        <w:t>X. Injection Technique</w:t>
      </w:r>
    </w:p>
    <w:p w14:paraId="0D8A7E23">
      <w:pPr>
        <w:pStyle w:val="5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General subcutaneous guidance from clinical best-practice resources[10][11].</w:t>
      </w:r>
    </w:p>
    <w:p w14:paraId="5CC1E352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sz w:val="13"/>
          <w:szCs w:val="13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Clean the vial stopper and skin with an alcohol swab; allow to dry completely</w:t>
      </w:r>
    </w:p>
    <w:p w14:paraId="1A0610EB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sz w:val="13"/>
          <w:szCs w:val="13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Draw the calculated dose into a sterile insulin syringe; tap the syringe to remove air bubbles</w:t>
      </w:r>
      <w:bookmarkStart w:id="0" w:name="_GoBack"/>
      <w:bookmarkEnd w:id="0"/>
    </w:p>
    <w:p w14:paraId="4BD606D4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sz w:val="13"/>
          <w:szCs w:val="13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Clean the injection site (abdomen, thigh, or upper arm) with a fresh alcohol swab; allow to dry</w:t>
      </w:r>
    </w:p>
    <w:p w14:paraId="03C58F63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sz w:val="13"/>
          <w:szCs w:val="13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Pinch a fold of skin; insert the needle at a 45–90° angle into subcutaneous tissue[10]</w:t>
      </w:r>
    </w:p>
    <w:p w14:paraId="22A49D8B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sz w:val="13"/>
          <w:szCs w:val="13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Do not aspirate for subcutaneous injections; inject slowly and steadily[10]</w:t>
      </w:r>
    </w:p>
    <w:p w14:paraId="0CC0AD37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sz w:val="13"/>
          <w:szCs w:val="13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Hold for 5–10 seconds before withdrawing the needle to ensure full delivery</w:t>
      </w:r>
    </w:p>
    <w:p w14:paraId="6607082E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sz w:val="13"/>
          <w:szCs w:val="13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3"/>
          <w:szCs w:val="13"/>
          <w:shd w:val="clear" w:fill="FFFFFF"/>
        </w:rPr>
        <w:t>Systematically rotate sites to avoid lipohypertrophy[12]</w:t>
      </w:r>
    </w:p>
    <w:p w14:paraId="1C98516B">
      <w:pPr>
        <w:pStyle w:val="5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6"/>
          <w:szCs w:val="16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FF0000"/>
          <w:spacing w:val="0"/>
          <w:sz w:val="16"/>
          <w:szCs w:val="16"/>
          <w:shd w:val="clear" w:fill="FFFFFF"/>
        </w:rPr>
        <w:t>Important Statement: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6"/>
          <w:szCs w:val="16"/>
          <w:shd w:val="clear" w:fill="FFFFFF"/>
        </w:rPr>
        <w:t xml:space="preserve"> This content is for educational and research reference only and does not constitute medical advice, diagnosis, or treatment. Adamax is a research compound and has not been approved by regulatory agencies for routine human therapeutic use. Consult a qualified healthcare professional before use.</w:t>
      </w:r>
    </w:p>
    <w:p w14:paraId="2C8425F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E4307A"/>
    <w:rsid w:val="4AE43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2026-10-16T07:59:00Z</dcterms:created>
  <dc:creator>一颗橘</dc:creator>
  <cp:lastModifiedBy>一颗橘</cp:lastModifiedBy>
  <dcterms:modified xsi:type="dcterms:W3CDTF">2026-10-16T08:09:32Z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3E17E87A8DA0421891FCC6EA91CBB9AD_11</vt:lpwstr>
  </property>
  <property fmtid="{D5CDD505-2E9C-101B-9397-08002B2CF9AE}" pid="4" name="KSOTemplateDocerSaveRecord">
    <vt:lpwstr>eyJoZGlkIjoiZjVhNGJiMWVmZTg4ZjFhYWZhYWFiMzBkODkwYWRkZmUiLCJ1c2VySWQiOiIxMDg3MzM0MTkzIn0=</vt:lpwstr>
  </property>
</Properties>
</file>