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EE67B">
      <w:pPr>
        <w:pStyle w:val="2"/>
        <w:keepNext w:val="0"/>
        <w:keepLines w:val="0"/>
        <w:widowControl/>
        <w:suppressLineNumbers w:val="0"/>
        <w:shd w:val="clear" w:fill="FFFFFF"/>
        <w:spacing w:before="320" w:beforeAutospacing="0" w:after="160" w:afterAutospacing="0" w:line="340" w:lineRule="atLeast"/>
        <w:ind w:left="0" w:right="0" w:firstLine="0"/>
        <w:jc w:val="center"/>
        <w:rPr>
          <w:rFonts w:hint="default" w:ascii="Segoe UI" w:hAnsi="Segoe UI" w:eastAsia="Segoe UI" w:cs="Segoe UI"/>
          <w:b/>
          <w:bCs/>
          <w:caps w:val="0"/>
          <w:color w:val="0F1115"/>
          <w:spacing w:val="0"/>
          <w:sz w:val="28"/>
          <w:szCs w:val="28"/>
          <w:shd w:val="clear" w:fill="FFFFFF"/>
        </w:rPr>
      </w:pPr>
      <w:r>
        <w:rPr>
          <w:rFonts w:hint="default" w:ascii="Segoe UI" w:hAnsi="Segoe UI" w:eastAsia="Segoe UI" w:cs="Segoe UI"/>
          <w:b/>
          <w:bCs/>
          <w:caps w:val="0"/>
          <w:color w:val="0F1115"/>
          <w:spacing w:val="0"/>
          <w:sz w:val="28"/>
          <w:szCs w:val="28"/>
          <w:shd w:val="clear" w:fill="FFFFFF"/>
        </w:rPr>
        <w:t>Adipotide Dosage Protocol Comprehensive Guide (5 mg / 10 mg Vial)</w:t>
      </w:r>
    </w:p>
    <w:p w14:paraId="6079171F">
      <w:pPr>
        <w:pStyle w:val="2"/>
        <w:keepNext w:val="0"/>
        <w:keepLines w:val="0"/>
        <w:widowControl/>
        <w:suppressLineNumbers w:val="0"/>
        <w:shd w:val="clear" w:fill="FFFFFF"/>
        <w:spacing w:before="320" w:beforeAutospacing="0" w:after="160" w:afterAutospacing="0" w:line="340" w:lineRule="atLeast"/>
        <w:ind w:left="0" w:right="0" w:firstLine="0"/>
        <w:jc w:val="both"/>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I. Overview</w:t>
      </w:r>
    </w:p>
    <w:p w14:paraId="138E8033">
      <w:pPr>
        <w:pStyle w:val="5"/>
        <w:keepNext w:val="0"/>
        <w:keepLines w:val="0"/>
        <w:widowControl/>
        <w:suppressLineNumbers w:val="0"/>
        <w:shd w:val="clear" w:fill="FFFFFF"/>
        <w:spacing w:before="160" w:beforeAutospacing="0" w:after="160" w:afterAutospacing="0"/>
        <w:ind w:left="0" w:right="0" w:firstLine="0"/>
        <w:rPr>
          <w:rFonts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Adipotide is a synthetic peptidomimetic that targets prohibitin on blood vessels within white adipose tissue and delivers a pro-apoptotic sequence to destroy those vessels[1][2], resulting in targeted fat mass reduction as fat cells lose their blood supply[8]. Preclinical studies showed notable weight loss in obese rodents and primates[1][9]; however, clinical development was discontinued after a Phase 1 trial due to safety concerns[3][4]. In educational protocols, Adipotide is typically administered at 250 mcg–1 mg daily via subcutaneous injection. A 5 mg vial reconstituted with 1.5 mL bacteriostatic water yields a concentration of approximately 3.33 mg/mL; a 10 mg vial reconstituted with 3.0 mL bacteriostatic water also yields a concentration of approximately 3.33 mg/mL.</w:t>
      </w:r>
    </w:p>
    <w:p w14:paraId="2EE1C7C6">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This guide covers dosage protocols for both the 5 mg and 10 mg specifications of Adipotide.</w:t>
      </w:r>
    </w:p>
    <w:p w14:paraId="63011DE6">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II. Dosage and Reconstitution Guide</w:t>
      </w:r>
    </w:p>
    <w:p w14:paraId="23EDAE1F">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8"/>
          <w:szCs w:val="18"/>
        </w:rPr>
      </w:pPr>
      <w:r>
        <w:rPr>
          <w:rFonts w:hint="default" w:ascii="Segoe UI" w:hAnsi="Segoe UI" w:eastAsia="Segoe UI" w:cs="Segoe UI"/>
          <w:b/>
          <w:bCs/>
          <w:caps w:val="0"/>
          <w:color w:val="0F1115"/>
          <w:spacing w:val="0"/>
          <w:sz w:val="18"/>
          <w:szCs w:val="18"/>
          <w:shd w:val="clear" w:fill="FFFFFF"/>
        </w:rPr>
        <w:t>2.1 5 mg Specification</w:t>
      </w:r>
    </w:p>
    <w:p w14:paraId="688D3309">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Reconstitution:</w:t>
      </w:r>
      <w:r>
        <w:rPr>
          <w:rFonts w:hint="default" w:ascii="Segoe UI" w:hAnsi="Segoe UI" w:eastAsia="Segoe UI" w:cs="Segoe UI"/>
          <w:i w:val="0"/>
          <w:iCs w:val="0"/>
          <w:caps w:val="0"/>
          <w:color w:val="0F1115"/>
          <w:spacing w:val="0"/>
          <w:sz w:val="13"/>
          <w:szCs w:val="13"/>
          <w:shd w:val="clear" w:fill="FFFFFF"/>
        </w:rPr>
        <w:t xml:space="preserve"> Add 1.5 mL bacteriostatic water → concentration approximately 3.33 mg/mL</w:t>
      </w:r>
    </w:p>
    <w:p w14:paraId="57EDCE5A">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U-100 insulin syringe conversion:</w:t>
      </w:r>
      <w:r>
        <w:rPr>
          <w:rFonts w:hint="default" w:ascii="Segoe UI" w:hAnsi="Segoe UI" w:eastAsia="Segoe UI" w:cs="Segoe UI"/>
          <w:i w:val="0"/>
          <w:iCs w:val="0"/>
          <w:caps w:val="0"/>
          <w:color w:val="0F1115"/>
          <w:spacing w:val="0"/>
          <w:sz w:val="13"/>
          <w:szCs w:val="13"/>
          <w:shd w:val="clear" w:fill="FFFFFF"/>
        </w:rPr>
        <w:t xml:space="preserve"> 1 unit = 0.01 mL ≈ 33.33 mcg (0.03333 mg)</w:t>
      </w:r>
    </w:p>
    <w:p w14:paraId="17AB4E00">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Post-reconstitution shelf life:</w:t>
      </w:r>
      <w:r>
        <w:rPr>
          <w:rFonts w:hint="default" w:ascii="Segoe UI" w:hAnsi="Segoe UI" w:eastAsia="Segoe UI" w:cs="Segoe UI"/>
          <w:i w:val="0"/>
          <w:iCs w:val="0"/>
          <w:caps w:val="0"/>
          <w:color w:val="0F1115"/>
          <w:spacing w:val="0"/>
          <w:sz w:val="13"/>
          <w:szCs w:val="13"/>
          <w:shd w:val="clear" w:fill="FFFFFF"/>
        </w:rPr>
        <w:t xml:space="preserve"> Use under refrigeration (2–8°C); avoid freeze-thaw cycles[5]</w:t>
      </w:r>
    </w:p>
    <w:p w14:paraId="254D4FE0">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8"/>
          <w:szCs w:val="18"/>
        </w:rPr>
      </w:pPr>
      <w:r>
        <w:rPr>
          <w:rFonts w:hint="default" w:ascii="Segoe UI" w:hAnsi="Segoe UI" w:eastAsia="Segoe UI" w:cs="Segoe UI"/>
          <w:b/>
          <w:bCs/>
          <w:caps w:val="0"/>
          <w:color w:val="0F1115"/>
          <w:spacing w:val="0"/>
          <w:sz w:val="18"/>
          <w:szCs w:val="18"/>
          <w:shd w:val="clear" w:fill="FFFFFF"/>
        </w:rPr>
        <w:t>2.2 10 mg Specification</w:t>
      </w:r>
    </w:p>
    <w:p w14:paraId="4A2558EA">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Reconstitution:</w:t>
      </w:r>
      <w:r>
        <w:rPr>
          <w:rFonts w:hint="default" w:ascii="Segoe UI" w:hAnsi="Segoe UI" w:eastAsia="Segoe UI" w:cs="Segoe UI"/>
          <w:i w:val="0"/>
          <w:iCs w:val="0"/>
          <w:caps w:val="0"/>
          <w:color w:val="0F1115"/>
          <w:spacing w:val="0"/>
          <w:sz w:val="13"/>
          <w:szCs w:val="13"/>
          <w:shd w:val="clear" w:fill="FFFFFF"/>
        </w:rPr>
        <w:t xml:space="preserve"> Add 3.0 mL bacteriostatic water → concentration approximately 3.33 mg/mL</w:t>
      </w:r>
    </w:p>
    <w:p w14:paraId="3EBE888C">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U-100 insulin syringe conversion:</w:t>
      </w:r>
      <w:r>
        <w:rPr>
          <w:rFonts w:hint="default" w:ascii="Segoe UI" w:hAnsi="Segoe UI" w:eastAsia="Segoe UI" w:cs="Segoe UI"/>
          <w:i w:val="0"/>
          <w:iCs w:val="0"/>
          <w:caps w:val="0"/>
          <w:color w:val="0F1115"/>
          <w:spacing w:val="0"/>
          <w:sz w:val="13"/>
          <w:szCs w:val="13"/>
          <w:shd w:val="clear" w:fill="FFFFFF"/>
        </w:rPr>
        <w:t xml:space="preserve"> 1 unit = 0.01 mL ≈ 33.33 mcg (0.03333 mg)</w:t>
      </w:r>
    </w:p>
    <w:p w14:paraId="4DAE818E">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Post-reconstitution shelf life:</w:t>
      </w:r>
      <w:r>
        <w:rPr>
          <w:rFonts w:hint="default" w:ascii="Segoe UI" w:hAnsi="Segoe UI" w:eastAsia="Segoe UI" w:cs="Segoe UI"/>
          <w:i w:val="0"/>
          <w:iCs w:val="0"/>
          <w:caps w:val="0"/>
          <w:color w:val="0F1115"/>
          <w:spacing w:val="0"/>
          <w:sz w:val="13"/>
          <w:szCs w:val="13"/>
          <w:shd w:val="clear" w:fill="FFFFFF"/>
        </w:rPr>
        <w:t xml:space="preserve"> Use under refrigeration (2–8°C); avoid freeze-thaw cycles</w:t>
      </w:r>
    </w:p>
    <w:p w14:paraId="573A6702">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5"/>
          <w:szCs w:val="15"/>
        </w:rPr>
      </w:pPr>
      <w:r>
        <w:rPr>
          <w:rFonts w:hint="default" w:ascii="Segoe UI" w:hAnsi="Segoe UI" w:eastAsia="Segoe UI" w:cs="Segoe UI"/>
          <w:b/>
          <w:bCs/>
          <w:caps w:val="0"/>
          <w:color w:val="0F1115"/>
          <w:spacing w:val="0"/>
          <w:sz w:val="15"/>
          <w:szCs w:val="15"/>
          <w:shd w:val="clear" w:fill="FFFFFF"/>
        </w:rPr>
        <w:t>Standard/Gradual Protocol (concentration 3.33 mg/mL, identical for both specifications)</w:t>
      </w:r>
    </w:p>
    <w:tbl>
      <w:tblP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873"/>
        <w:gridCol w:w="1003"/>
        <w:gridCol w:w="1411"/>
        <w:gridCol w:w="1545"/>
        <w:gridCol w:w="729"/>
      </w:tblGrid>
      <w:tr w14:paraId="0BCB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Header/>
        </w:trPr>
        <w:tc>
          <w:tcPr>
            <w:tcW w:w="0" w:type="auto"/>
            <w:shd w:val="clear"/>
            <w:tcMar>
              <w:top w:w="150" w:type="dxa"/>
              <w:left w:w="0" w:type="dxa"/>
              <w:bottom w:w="150" w:type="dxa"/>
              <w:right w:w="240" w:type="dxa"/>
            </w:tcMar>
            <w:vAlign w:val="center"/>
          </w:tcPr>
          <w:p w14:paraId="230AC38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Phase</w:t>
            </w:r>
          </w:p>
        </w:tc>
        <w:tc>
          <w:tcPr>
            <w:tcW w:w="0" w:type="auto"/>
            <w:shd w:val="clear"/>
            <w:tcMar>
              <w:top w:w="150" w:type="dxa"/>
              <w:left w:w="240" w:type="dxa"/>
              <w:bottom w:w="150" w:type="dxa"/>
              <w:right w:w="240" w:type="dxa"/>
            </w:tcMar>
            <w:vAlign w:val="center"/>
          </w:tcPr>
          <w:p w14:paraId="723D9F0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Weeks</w:t>
            </w:r>
          </w:p>
        </w:tc>
        <w:tc>
          <w:tcPr>
            <w:tcW w:w="0" w:type="auto"/>
            <w:shd w:val="clear"/>
            <w:tcMar>
              <w:top w:w="150" w:type="dxa"/>
              <w:left w:w="240" w:type="dxa"/>
              <w:bottom w:w="150" w:type="dxa"/>
              <w:right w:w="240" w:type="dxa"/>
            </w:tcMar>
            <w:vAlign w:val="center"/>
          </w:tcPr>
          <w:p w14:paraId="7D0526B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Daily Dose (mcg)</w:t>
            </w:r>
          </w:p>
        </w:tc>
        <w:tc>
          <w:tcPr>
            <w:tcW w:w="0" w:type="auto"/>
            <w:shd w:val="clear"/>
            <w:tcMar>
              <w:top w:w="150" w:type="dxa"/>
              <w:left w:w="240" w:type="dxa"/>
              <w:bottom w:w="150" w:type="dxa"/>
              <w:right w:w="240" w:type="dxa"/>
            </w:tcMar>
            <w:vAlign w:val="center"/>
          </w:tcPr>
          <w:p w14:paraId="029F452A">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Injection Volume (mL)</w:t>
            </w:r>
          </w:p>
        </w:tc>
        <w:tc>
          <w:tcPr>
            <w:tcW w:w="0" w:type="auto"/>
            <w:shd w:val="clear"/>
            <w:tcMar>
              <w:top w:w="150" w:type="dxa"/>
              <w:left w:w="240" w:type="dxa"/>
              <w:bottom w:w="150" w:type="dxa"/>
              <w:right w:w="240" w:type="dxa"/>
            </w:tcMar>
            <w:vAlign w:val="center"/>
          </w:tcPr>
          <w:p w14:paraId="483D929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Units</w:t>
            </w:r>
          </w:p>
        </w:tc>
      </w:tr>
      <w:tr w14:paraId="4A29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C7B0869">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Initial</w:t>
            </w:r>
          </w:p>
        </w:tc>
        <w:tc>
          <w:tcPr>
            <w:tcW w:w="0" w:type="auto"/>
            <w:shd w:val="clear"/>
            <w:tcMar>
              <w:top w:w="150" w:type="dxa"/>
              <w:left w:w="240" w:type="dxa"/>
              <w:bottom w:w="150" w:type="dxa"/>
              <w:right w:w="240" w:type="dxa"/>
            </w:tcMar>
            <w:vAlign w:val="center"/>
          </w:tcPr>
          <w:p w14:paraId="3EC1487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Weeks 1–2</w:t>
            </w:r>
          </w:p>
        </w:tc>
        <w:tc>
          <w:tcPr>
            <w:tcW w:w="0" w:type="auto"/>
            <w:shd w:val="clear"/>
            <w:tcMar>
              <w:top w:w="150" w:type="dxa"/>
              <w:left w:w="240" w:type="dxa"/>
              <w:bottom w:w="150" w:type="dxa"/>
              <w:right w:w="240" w:type="dxa"/>
            </w:tcMar>
            <w:vAlign w:val="center"/>
          </w:tcPr>
          <w:p w14:paraId="401F79F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250 mcg</w:t>
            </w:r>
          </w:p>
        </w:tc>
        <w:tc>
          <w:tcPr>
            <w:tcW w:w="0" w:type="auto"/>
            <w:shd w:val="clear"/>
            <w:tcMar>
              <w:top w:w="150" w:type="dxa"/>
              <w:left w:w="240" w:type="dxa"/>
              <w:bottom w:w="150" w:type="dxa"/>
              <w:right w:w="240" w:type="dxa"/>
            </w:tcMar>
            <w:vAlign w:val="center"/>
          </w:tcPr>
          <w:p w14:paraId="742EA1F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0.08 mL</w:t>
            </w:r>
          </w:p>
        </w:tc>
        <w:tc>
          <w:tcPr>
            <w:tcW w:w="0" w:type="auto"/>
            <w:shd w:val="clear"/>
            <w:tcMar>
              <w:top w:w="150" w:type="dxa"/>
              <w:left w:w="240" w:type="dxa"/>
              <w:bottom w:w="150" w:type="dxa"/>
              <w:right w:w="0" w:type="dxa"/>
            </w:tcMar>
            <w:vAlign w:val="center"/>
          </w:tcPr>
          <w:p w14:paraId="33F6917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7.5 units</w:t>
            </w:r>
          </w:p>
        </w:tc>
      </w:tr>
      <w:tr w14:paraId="7E24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3FECEE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Escalation</w:t>
            </w:r>
          </w:p>
        </w:tc>
        <w:tc>
          <w:tcPr>
            <w:tcW w:w="0" w:type="auto"/>
            <w:shd w:val="clear"/>
            <w:tcMar>
              <w:top w:w="150" w:type="dxa"/>
              <w:left w:w="240" w:type="dxa"/>
              <w:bottom w:w="150" w:type="dxa"/>
              <w:right w:w="240" w:type="dxa"/>
            </w:tcMar>
            <w:vAlign w:val="center"/>
          </w:tcPr>
          <w:p w14:paraId="55A7595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Weeks 3–4</w:t>
            </w:r>
          </w:p>
        </w:tc>
        <w:tc>
          <w:tcPr>
            <w:tcW w:w="0" w:type="auto"/>
            <w:shd w:val="clear"/>
            <w:tcMar>
              <w:top w:w="150" w:type="dxa"/>
              <w:left w:w="240" w:type="dxa"/>
              <w:bottom w:w="150" w:type="dxa"/>
              <w:right w:w="240" w:type="dxa"/>
            </w:tcMar>
            <w:vAlign w:val="center"/>
          </w:tcPr>
          <w:p w14:paraId="79A863B5">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500 mcg</w:t>
            </w:r>
          </w:p>
        </w:tc>
        <w:tc>
          <w:tcPr>
            <w:tcW w:w="0" w:type="auto"/>
            <w:shd w:val="clear"/>
            <w:tcMar>
              <w:top w:w="150" w:type="dxa"/>
              <w:left w:w="240" w:type="dxa"/>
              <w:bottom w:w="150" w:type="dxa"/>
              <w:right w:w="240" w:type="dxa"/>
            </w:tcMar>
            <w:vAlign w:val="center"/>
          </w:tcPr>
          <w:p w14:paraId="74DE421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0.15 mL</w:t>
            </w:r>
          </w:p>
        </w:tc>
        <w:tc>
          <w:tcPr>
            <w:tcW w:w="0" w:type="auto"/>
            <w:shd w:val="clear"/>
            <w:tcMar>
              <w:top w:w="150" w:type="dxa"/>
              <w:left w:w="240" w:type="dxa"/>
              <w:bottom w:w="150" w:type="dxa"/>
              <w:right w:w="0" w:type="dxa"/>
            </w:tcMar>
            <w:vAlign w:val="center"/>
          </w:tcPr>
          <w:p w14:paraId="046A2BD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15 units</w:t>
            </w:r>
          </w:p>
        </w:tc>
      </w:tr>
      <w:tr w14:paraId="6FB7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F1E891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Escalation</w:t>
            </w:r>
          </w:p>
        </w:tc>
        <w:tc>
          <w:tcPr>
            <w:tcW w:w="0" w:type="auto"/>
            <w:shd w:val="clear"/>
            <w:tcMar>
              <w:top w:w="150" w:type="dxa"/>
              <w:left w:w="240" w:type="dxa"/>
              <w:bottom w:w="150" w:type="dxa"/>
              <w:right w:w="240" w:type="dxa"/>
            </w:tcMar>
            <w:vAlign w:val="center"/>
          </w:tcPr>
          <w:p w14:paraId="58867507">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Weeks 5–6</w:t>
            </w:r>
          </w:p>
        </w:tc>
        <w:tc>
          <w:tcPr>
            <w:tcW w:w="0" w:type="auto"/>
            <w:shd w:val="clear"/>
            <w:tcMar>
              <w:top w:w="150" w:type="dxa"/>
              <w:left w:w="240" w:type="dxa"/>
              <w:bottom w:w="150" w:type="dxa"/>
              <w:right w:w="240" w:type="dxa"/>
            </w:tcMar>
            <w:vAlign w:val="center"/>
          </w:tcPr>
          <w:p w14:paraId="27CF205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750 mcg</w:t>
            </w:r>
          </w:p>
        </w:tc>
        <w:tc>
          <w:tcPr>
            <w:tcW w:w="0" w:type="auto"/>
            <w:shd w:val="clear"/>
            <w:tcMar>
              <w:top w:w="150" w:type="dxa"/>
              <w:left w:w="240" w:type="dxa"/>
              <w:bottom w:w="150" w:type="dxa"/>
              <w:right w:w="240" w:type="dxa"/>
            </w:tcMar>
            <w:vAlign w:val="center"/>
          </w:tcPr>
          <w:p w14:paraId="0C0153C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0.23 mL</w:t>
            </w:r>
          </w:p>
        </w:tc>
        <w:tc>
          <w:tcPr>
            <w:tcW w:w="0" w:type="auto"/>
            <w:shd w:val="clear"/>
            <w:tcMar>
              <w:top w:w="150" w:type="dxa"/>
              <w:left w:w="240" w:type="dxa"/>
              <w:bottom w:w="150" w:type="dxa"/>
              <w:right w:w="0" w:type="dxa"/>
            </w:tcMar>
            <w:vAlign w:val="center"/>
          </w:tcPr>
          <w:p w14:paraId="61802E7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22.5 units</w:t>
            </w:r>
          </w:p>
        </w:tc>
      </w:tr>
      <w:tr w14:paraId="32C6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48FF41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Maintenance</w:t>
            </w:r>
          </w:p>
        </w:tc>
        <w:tc>
          <w:tcPr>
            <w:tcW w:w="0" w:type="auto"/>
            <w:shd w:val="clear"/>
            <w:tcMar>
              <w:top w:w="150" w:type="dxa"/>
              <w:left w:w="240" w:type="dxa"/>
              <w:bottom w:w="150" w:type="dxa"/>
              <w:right w:w="240" w:type="dxa"/>
            </w:tcMar>
            <w:vAlign w:val="center"/>
          </w:tcPr>
          <w:p w14:paraId="613225B7">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Weeks 7–8</w:t>
            </w:r>
          </w:p>
        </w:tc>
        <w:tc>
          <w:tcPr>
            <w:tcW w:w="0" w:type="auto"/>
            <w:shd w:val="clear"/>
            <w:tcMar>
              <w:top w:w="150" w:type="dxa"/>
              <w:left w:w="240" w:type="dxa"/>
              <w:bottom w:w="150" w:type="dxa"/>
              <w:right w:w="240" w:type="dxa"/>
            </w:tcMar>
            <w:vAlign w:val="center"/>
          </w:tcPr>
          <w:p w14:paraId="6FB881B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1,000 mcg (1.0 mg)</w:t>
            </w:r>
          </w:p>
        </w:tc>
        <w:tc>
          <w:tcPr>
            <w:tcW w:w="0" w:type="auto"/>
            <w:shd w:val="clear"/>
            <w:tcMar>
              <w:top w:w="150" w:type="dxa"/>
              <w:left w:w="240" w:type="dxa"/>
              <w:bottom w:w="150" w:type="dxa"/>
              <w:right w:w="240" w:type="dxa"/>
            </w:tcMar>
            <w:vAlign w:val="center"/>
          </w:tcPr>
          <w:p w14:paraId="2E1DE0C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0.30 mL</w:t>
            </w:r>
          </w:p>
        </w:tc>
        <w:tc>
          <w:tcPr>
            <w:tcW w:w="0" w:type="auto"/>
            <w:shd w:val="clear"/>
            <w:tcMar>
              <w:top w:w="150" w:type="dxa"/>
              <w:left w:w="240" w:type="dxa"/>
              <w:bottom w:w="150" w:type="dxa"/>
              <w:right w:w="0" w:type="dxa"/>
            </w:tcMar>
            <w:vAlign w:val="center"/>
          </w:tcPr>
          <w:p w14:paraId="7DD7529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30 units</w:t>
            </w:r>
          </w:p>
        </w:tc>
      </w:tr>
    </w:tbl>
    <w:p w14:paraId="5E5377B8">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Injection frequency:</w:t>
      </w:r>
      <w:r>
        <w:rPr>
          <w:rFonts w:hint="default" w:ascii="Segoe UI" w:hAnsi="Segoe UI" w:eastAsia="Segoe UI" w:cs="Segoe UI"/>
          <w:i w:val="0"/>
          <w:iCs w:val="0"/>
          <w:caps w:val="0"/>
          <w:color w:val="0F1115"/>
          <w:spacing w:val="0"/>
          <w:sz w:val="13"/>
          <w:szCs w:val="13"/>
          <w:shd w:val="clear" w:fill="FFFFFF"/>
        </w:rPr>
        <w:t xml:space="preserve"> Once daily (subcutaneous injection)</w:t>
      </w:r>
    </w:p>
    <w:p w14:paraId="46635DFD">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Cycle length:</w:t>
      </w:r>
      <w:r>
        <w:rPr>
          <w:rFonts w:hint="default" w:ascii="Segoe UI" w:hAnsi="Segoe UI" w:eastAsia="Segoe UI" w:cs="Segoe UI"/>
          <w:i w:val="0"/>
          <w:iCs w:val="0"/>
          <w:caps w:val="0"/>
          <w:color w:val="0F1115"/>
          <w:spacing w:val="0"/>
          <w:sz w:val="13"/>
          <w:szCs w:val="13"/>
          <w:shd w:val="clear" w:fill="FFFFFF"/>
        </w:rPr>
        <w:t xml:space="preserve"> 4–8 weeks (based on preclinical effective treatment duration; extension requires extreme caution)</w:t>
      </w:r>
    </w:p>
    <w:p w14:paraId="39ACABA4">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Note:</w:t>
      </w:r>
      <w:r>
        <w:rPr>
          <w:rFonts w:hint="default" w:ascii="Segoe UI" w:hAnsi="Segoe UI" w:eastAsia="Segoe UI" w:cs="Segoe UI"/>
          <w:i w:val="0"/>
          <w:iCs w:val="0"/>
          <w:caps w:val="0"/>
          <w:color w:val="0F1115"/>
          <w:spacing w:val="0"/>
          <w:sz w:val="13"/>
          <w:szCs w:val="13"/>
          <w:shd w:val="clear" w:fill="FFFFFF"/>
        </w:rPr>
        <w:t xml:space="preserve"> This protocol starts at a conservative dose and escalates gradually every 2 weeks to mitigate potential renal side effects observed at higher doses in preclinical studies[1][2]. For administrations of ≤10 units (≤0.10 mL), using a 30- or 50-unit insulin syringe is recommended to improve readability.</w:t>
      </w:r>
    </w:p>
    <w:p w14:paraId="4C73BCA9">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III. Reconstitution Steps (General)</w:t>
      </w:r>
    </w:p>
    <w:p w14:paraId="00FDF01D">
      <w:pPr>
        <w:pStyle w:val="5"/>
        <w:keepNext w:val="0"/>
        <w:keepLines w:val="0"/>
        <w:widowControl/>
        <w:suppressLineNumbers w:val="0"/>
        <w:spacing w:before="0" w:beforeAutospacing="0" w:after="0" w:afterAutospacing="0"/>
        <w:ind w:left="0" w:right="0"/>
        <w:rPr>
          <w:sz w:val="13"/>
          <w:szCs w:val="13"/>
        </w:rPr>
      </w:pPr>
      <w:r>
        <w:rPr>
          <w:rFonts w:hint="eastAsia" w:ascii="Segoe UI" w:hAnsi="Segoe UI" w:eastAsia="宋体" w:cs="Segoe UI"/>
          <w:i w:val="0"/>
          <w:iCs w:val="0"/>
          <w:caps w:val="0"/>
          <w:color w:val="0F1115"/>
          <w:spacing w:val="0"/>
          <w:sz w:val="13"/>
          <w:szCs w:val="13"/>
          <w:shd w:val="clear" w:fill="FFFFFF"/>
          <w:lang w:val="en-US" w:eastAsia="zh-CN"/>
        </w:rPr>
        <w:t>1、</w:t>
      </w:r>
      <w:r>
        <w:rPr>
          <w:rFonts w:hint="default" w:ascii="Segoe UI" w:hAnsi="Segoe UI" w:eastAsia="Segoe UI" w:cs="Segoe UI"/>
          <w:i w:val="0"/>
          <w:iCs w:val="0"/>
          <w:caps w:val="0"/>
          <w:color w:val="0F1115"/>
          <w:spacing w:val="0"/>
          <w:sz w:val="13"/>
          <w:szCs w:val="13"/>
          <w:shd w:val="clear" w:fill="FFFFFF"/>
        </w:rPr>
        <w:t>Draw bacteriostatic water with a sterile syringe (5 mg vial: 1.5 mL; 10 mg vial: 3.0 mL)</w:t>
      </w:r>
    </w:p>
    <w:p w14:paraId="18B611CB">
      <w:pPr>
        <w:pStyle w:val="5"/>
        <w:keepNext w:val="0"/>
        <w:keepLines w:val="0"/>
        <w:widowControl/>
        <w:suppressLineNumbers w:val="0"/>
        <w:spacing w:before="0" w:beforeAutospacing="0" w:after="0" w:afterAutospacing="0"/>
        <w:ind w:left="0" w:right="0"/>
        <w:rPr>
          <w:sz w:val="13"/>
          <w:szCs w:val="13"/>
        </w:rPr>
      </w:pPr>
      <w:r>
        <w:rPr>
          <w:rFonts w:hint="eastAsia" w:ascii="Segoe UI" w:hAnsi="Segoe UI" w:eastAsia="宋体" w:cs="Segoe UI"/>
          <w:i w:val="0"/>
          <w:iCs w:val="0"/>
          <w:caps w:val="0"/>
          <w:color w:val="0F1115"/>
          <w:spacing w:val="0"/>
          <w:sz w:val="13"/>
          <w:szCs w:val="13"/>
          <w:shd w:val="clear" w:fill="FFFFFF"/>
          <w:lang w:val="en-US" w:eastAsia="zh-CN"/>
        </w:rPr>
        <w:t>2、</w:t>
      </w:r>
      <w:r>
        <w:rPr>
          <w:rFonts w:hint="default" w:ascii="Segoe UI" w:hAnsi="Segoe UI" w:eastAsia="Segoe UI" w:cs="Segoe UI"/>
          <w:i w:val="0"/>
          <w:iCs w:val="0"/>
          <w:caps w:val="0"/>
          <w:color w:val="0F1115"/>
          <w:spacing w:val="0"/>
          <w:sz w:val="13"/>
          <w:szCs w:val="13"/>
          <w:shd w:val="clear" w:fill="FFFFFF"/>
        </w:rPr>
        <w:t>Insert the needle through the vial stopper; allow the diluent to run slowly down the vial wall to avoid foaming</w:t>
      </w:r>
    </w:p>
    <w:p w14:paraId="4A2964A3">
      <w:pPr>
        <w:pStyle w:val="5"/>
        <w:keepNext w:val="0"/>
        <w:keepLines w:val="0"/>
        <w:widowControl/>
        <w:suppressLineNumbers w:val="0"/>
        <w:spacing w:before="0" w:beforeAutospacing="0" w:after="0" w:afterAutospacing="0"/>
        <w:ind w:left="0" w:right="0"/>
        <w:rPr>
          <w:sz w:val="13"/>
          <w:szCs w:val="13"/>
        </w:rPr>
      </w:pPr>
      <w:r>
        <w:rPr>
          <w:rFonts w:hint="eastAsia" w:ascii="Segoe UI" w:hAnsi="Segoe UI" w:eastAsia="宋体" w:cs="Segoe UI"/>
          <w:i w:val="0"/>
          <w:iCs w:val="0"/>
          <w:caps w:val="0"/>
          <w:color w:val="0F1115"/>
          <w:spacing w:val="0"/>
          <w:sz w:val="13"/>
          <w:szCs w:val="13"/>
          <w:shd w:val="clear" w:fill="FFFFFF"/>
          <w:lang w:val="en-US" w:eastAsia="zh-CN"/>
        </w:rPr>
        <w:t>3、</w:t>
      </w:r>
      <w:r>
        <w:rPr>
          <w:rFonts w:hint="default" w:ascii="Segoe UI" w:hAnsi="Segoe UI" w:eastAsia="Segoe UI" w:cs="Segoe UI"/>
          <w:i w:val="0"/>
          <w:iCs w:val="0"/>
          <w:caps w:val="0"/>
          <w:color w:val="0F1115"/>
          <w:spacing w:val="0"/>
          <w:sz w:val="13"/>
          <w:szCs w:val="13"/>
          <w:shd w:val="clear" w:fill="FFFFFF"/>
        </w:rPr>
        <w:t>Gently swirl/roll until the powder is completely dissolved (do not shake vigorously)</w:t>
      </w:r>
    </w:p>
    <w:p w14:paraId="5A2395EB">
      <w:pPr>
        <w:pStyle w:val="5"/>
        <w:keepNext w:val="0"/>
        <w:keepLines w:val="0"/>
        <w:widowControl/>
        <w:suppressLineNumbers w:val="0"/>
        <w:spacing w:before="0" w:beforeAutospacing="0" w:after="0" w:afterAutospacing="0"/>
        <w:ind w:left="0" w:right="0"/>
        <w:rPr>
          <w:sz w:val="13"/>
          <w:szCs w:val="13"/>
        </w:rPr>
      </w:pPr>
      <w:r>
        <w:rPr>
          <w:rFonts w:hint="eastAsia" w:ascii="Segoe UI" w:hAnsi="Segoe UI" w:eastAsia="宋体" w:cs="Segoe UI"/>
          <w:i w:val="0"/>
          <w:iCs w:val="0"/>
          <w:caps w:val="0"/>
          <w:color w:val="0F1115"/>
          <w:spacing w:val="0"/>
          <w:sz w:val="13"/>
          <w:szCs w:val="13"/>
          <w:shd w:val="clear" w:fill="FFFFFF"/>
          <w:lang w:val="en-US" w:eastAsia="zh-CN"/>
        </w:rPr>
        <w:t>4、</w:t>
      </w:r>
      <w:r>
        <w:rPr>
          <w:rFonts w:hint="default" w:ascii="Segoe UI" w:hAnsi="Segoe UI" w:eastAsia="Segoe UI" w:cs="Segoe UI"/>
          <w:i w:val="0"/>
          <w:iCs w:val="0"/>
          <w:caps w:val="0"/>
          <w:color w:val="0F1115"/>
          <w:spacing w:val="0"/>
          <w:sz w:val="13"/>
          <w:szCs w:val="13"/>
          <w:shd w:val="clear" w:fill="FFFFFF"/>
        </w:rPr>
        <w:t>Label with reconstitution date and concentration; refrigerate at 2–8°C / 35.6–46.4°F, protected from light[5]</w:t>
      </w:r>
    </w:p>
    <w:p w14:paraId="7659F9DA">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IV. Supplies Needed</w:t>
      </w:r>
    </w:p>
    <w:p w14:paraId="0F928393">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Plan based on an 8-week cautious titration protocol with once-daily administration.</w:t>
      </w:r>
    </w:p>
    <w:p w14:paraId="005764D8">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3"/>
          <w:szCs w:val="13"/>
        </w:rPr>
      </w:pPr>
      <w:r>
        <w:rPr>
          <w:rFonts w:hint="default" w:ascii="Segoe UI" w:hAnsi="Segoe UI" w:eastAsia="Segoe UI" w:cs="Segoe UI"/>
          <w:b/>
          <w:bCs/>
          <w:caps w:val="0"/>
          <w:color w:val="0F1115"/>
          <w:spacing w:val="0"/>
          <w:sz w:val="13"/>
          <w:szCs w:val="13"/>
          <w:shd w:val="clear" w:fill="FFFFFF"/>
        </w:rPr>
        <w:t>4.1 Peptide Vials (Adipotide)</w:t>
      </w:r>
    </w:p>
    <w:p w14:paraId="2AC22FDB">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5 mg Specification:</w:t>
      </w:r>
    </w:p>
    <w:tbl>
      <w:tblPr>
        <w:tblW w:w="24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02"/>
        <w:gridCol w:w="1379"/>
      </w:tblGrid>
      <w:tr w14:paraId="3CB79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1102"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075A1B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3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D6947D5">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Vials Needed</w:t>
            </w:r>
          </w:p>
        </w:tc>
      </w:tr>
      <w:tr w14:paraId="0170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102"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011A8AD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8 weeks</w:t>
            </w:r>
          </w:p>
        </w:tc>
        <w:tc>
          <w:tcPr>
            <w:tcW w:w="13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6CEF60B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 vials</w:t>
            </w:r>
          </w:p>
        </w:tc>
      </w:tr>
      <w:tr w14:paraId="54AB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102"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7C2BEE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12 weeks</w:t>
            </w:r>
          </w:p>
        </w:tc>
        <w:tc>
          <w:tcPr>
            <w:tcW w:w="13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6DF009F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~13 vials</w:t>
            </w:r>
          </w:p>
        </w:tc>
      </w:tr>
      <w:tr w14:paraId="57CAE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102"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3ABA41E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16 weeks</w:t>
            </w:r>
          </w:p>
        </w:tc>
        <w:tc>
          <w:tcPr>
            <w:tcW w:w="13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5F0E248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~19 vials</w:t>
            </w:r>
          </w:p>
        </w:tc>
      </w:tr>
    </w:tbl>
    <w:p w14:paraId="4F4360AA">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10 mg Specification:</w:t>
      </w:r>
    </w:p>
    <w:tbl>
      <w:tblPr>
        <w:tblW w:w="21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906"/>
        <w:gridCol w:w="1253"/>
      </w:tblGrid>
      <w:tr w14:paraId="6BF9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90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C57D9A9">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25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3329266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Vials Needed</w:t>
            </w:r>
          </w:p>
        </w:tc>
      </w:tr>
      <w:tr w14:paraId="14C5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90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04F70E4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8 weeks</w:t>
            </w:r>
          </w:p>
        </w:tc>
        <w:tc>
          <w:tcPr>
            <w:tcW w:w="125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42A318F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~4 vials</w:t>
            </w:r>
          </w:p>
        </w:tc>
      </w:tr>
      <w:tr w14:paraId="26AE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0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293E727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12 weeks</w:t>
            </w:r>
          </w:p>
        </w:tc>
        <w:tc>
          <w:tcPr>
            <w:tcW w:w="125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4EDA4CF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 vials</w:t>
            </w:r>
          </w:p>
        </w:tc>
      </w:tr>
      <w:tr w14:paraId="368D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90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21A9B8F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16 weeks</w:t>
            </w:r>
          </w:p>
        </w:tc>
        <w:tc>
          <w:tcPr>
            <w:tcW w:w="125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26CA662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vials</w:t>
            </w:r>
          </w:p>
        </w:tc>
      </w:tr>
    </w:tbl>
    <w:p w14:paraId="3523FAEE">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3"/>
          <w:szCs w:val="13"/>
        </w:rPr>
      </w:pPr>
      <w:r>
        <w:rPr>
          <w:rFonts w:hint="default" w:ascii="Segoe UI" w:hAnsi="Segoe UI" w:eastAsia="Segoe UI" w:cs="Segoe UI"/>
          <w:b/>
          <w:bCs/>
          <w:caps w:val="0"/>
          <w:color w:val="0F1115"/>
          <w:spacing w:val="0"/>
          <w:sz w:val="13"/>
          <w:szCs w:val="13"/>
          <w:shd w:val="clear" w:fill="FFFFFF"/>
        </w:rPr>
        <w:t>4.2 Syringes (U-100 Insulin Syringes)</w:t>
      </w:r>
    </w:p>
    <w:tbl>
      <w:tblPr>
        <w:tblW w:w="39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95"/>
        <w:gridCol w:w="1735"/>
        <w:gridCol w:w="1276"/>
      </w:tblGrid>
      <w:tr w14:paraId="2A87E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895"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3DE7849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735"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4311581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Per Week</w:t>
            </w:r>
          </w:p>
        </w:tc>
        <w:tc>
          <w:tcPr>
            <w:tcW w:w="1276"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39ADA7C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Total</w:t>
            </w:r>
          </w:p>
        </w:tc>
      </w:tr>
      <w:tr w14:paraId="3EEC8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895"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2EE0372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8 weeks</w:t>
            </w:r>
          </w:p>
        </w:tc>
        <w:tc>
          <w:tcPr>
            <w:tcW w:w="1735"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A1B120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 syringes (1/day)</w:t>
            </w:r>
          </w:p>
        </w:tc>
        <w:tc>
          <w:tcPr>
            <w:tcW w:w="1276"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6D7884C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56 syringes</w:t>
            </w:r>
          </w:p>
        </w:tc>
      </w:tr>
      <w:tr w14:paraId="682F8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895"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9E892B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12 weeks</w:t>
            </w:r>
          </w:p>
        </w:tc>
        <w:tc>
          <w:tcPr>
            <w:tcW w:w="1735"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3375BB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 syringes (1/day)</w:t>
            </w:r>
          </w:p>
        </w:tc>
        <w:tc>
          <w:tcPr>
            <w:tcW w:w="1276"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32EB4E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84 syringes</w:t>
            </w:r>
          </w:p>
        </w:tc>
      </w:tr>
      <w:tr w14:paraId="33675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895"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074E4A7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16 weeks</w:t>
            </w:r>
          </w:p>
        </w:tc>
        <w:tc>
          <w:tcPr>
            <w:tcW w:w="1735"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B06780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 syringes (1/day)</w:t>
            </w:r>
          </w:p>
        </w:tc>
        <w:tc>
          <w:tcPr>
            <w:tcW w:w="1276"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2A2CF64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112 syringes</w:t>
            </w:r>
          </w:p>
        </w:tc>
      </w:tr>
    </w:tbl>
    <w:p w14:paraId="20E90B27">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3"/>
          <w:szCs w:val="13"/>
        </w:rPr>
      </w:pPr>
      <w:r>
        <w:rPr>
          <w:rFonts w:hint="default" w:ascii="Segoe UI" w:hAnsi="Segoe UI" w:eastAsia="Segoe UI" w:cs="Segoe UI"/>
          <w:b/>
          <w:bCs/>
          <w:caps w:val="0"/>
          <w:color w:val="0F1115"/>
          <w:spacing w:val="0"/>
          <w:sz w:val="13"/>
          <w:szCs w:val="13"/>
          <w:shd w:val="clear" w:fill="FFFFFF"/>
        </w:rPr>
        <w:t>4.3 Bacteriostatic Water (10 mL Bottles)</w:t>
      </w:r>
    </w:p>
    <w:p w14:paraId="16DE287B">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5 mg Specification (use ~1.5 mL per vial):</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44"/>
        <w:gridCol w:w="1119"/>
        <w:gridCol w:w="1127"/>
        <w:gridCol w:w="1139"/>
      </w:tblGrid>
      <w:tr w14:paraId="0457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909606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A2362D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Vials Needed</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89522D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Total Volume</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255F37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mL Bottles</w:t>
            </w:r>
          </w:p>
        </w:tc>
      </w:tr>
      <w:tr w14:paraId="07A0E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7DE2ABE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8 weeks (7 vials)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B87FFE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06E90F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10.5 mL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B413D5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 bottles</w:t>
            </w:r>
          </w:p>
        </w:tc>
      </w:tr>
      <w:tr w14:paraId="18D39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2EC14EE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12 weeks (13 vials)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7542486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631D13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19.5 mL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C29A51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 bottles</w:t>
            </w:r>
          </w:p>
        </w:tc>
      </w:tr>
      <w:tr w14:paraId="64062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6FCC551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16 weeks (19 vials)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44A66F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19</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386949A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28.5 mL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0911CF67">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3 bottles</w:t>
            </w:r>
          </w:p>
        </w:tc>
      </w:tr>
    </w:tbl>
    <w:p w14:paraId="0842D40A">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b/>
          <w:bCs/>
          <w:i w:val="0"/>
          <w:iCs w:val="0"/>
          <w:caps w:val="0"/>
          <w:color w:val="0F1115"/>
          <w:spacing w:val="0"/>
          <w:sz w:val="13"/>
          <w:szCs w:val="13"/>
          <w:shd w:val="clear" w:fill="FFFFFF"/>
        </w:rPr>
        <w:t>10 mg Specification (use ~3.0 mL per vial):</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07"/>
        <w:gridCol w:w="1235"/>
        <w:gridCol w:w="1244"/>
        <w:gridCol w:w="1258"/>
      </w:tblGrid>
      <w:tr w14:paraId="5A439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6966B0F">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Cycle</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A564DB3">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Vials Needed</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4A99710A">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Total Volume</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5B893FA">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10 mL Bottles</w:t>
            </w:r>
          </w:p>
        </w:tc>
      </w:tr>
      <w:tr w14:paraId="3563D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8F0A344">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8 weeks (4 vials)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181324C9">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7E4D9A6">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12 mL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BE88C51">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2 bottles</w:t>
            </w:r>
          </w:p>
        </w:tc>
      </w:tr>
      <w:tr w14:paraId="2E62A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0686FC6">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12 weeks (7 vials)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52BACB5">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1F8C49B">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21 mL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1F4567DE">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3 bottles</w:t>
            </w:r>
          </w:p>
        </w:tc>
      </w:tr>
      <w:tr w14:paraId="21B79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7173C063">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16 weeks (10 vials)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782BF9C1">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3DBD71B">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30 mL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73B45D6E">
            <w:pPr>
              <w:keepNext w:val="0"/>
              <w:keepLines w:val="0"/>
              <w:widowControl/>
              <w:suppressLineNumbers w:val="0"/>
              <w:spacing w:line="250" w:lineRule="atLeast"/>
              <w:jc w:val="center"/>
              <w:rPr>
                <w:rFonts w:hint="default" w:ascii="Segoe UI" w:hAnsi="Segoe UI" w:eastAsia="Segoe UI" w:cs="Segoe UI"/>
                <w:sz w:val="13"/>
                <w:szCs w:val="13"/>
              </w:rPr>
            </w:pPr>
            <w:r>
              <w:rPr>
                <w:rFonts w:hint="default" w:ascii="Segoe UI" w:hAnsi="Segoe UI" w:eastAsia="Segoe UI" w:cs="Segoe UI"/>
                <w:kern w:val="0"/>
                <w:sz w:val="13"/>
                <w:szCs w:val="13"/>
                <w:bdr w:val="none" w:color="auto" w:sz="0" w:space="0"/>
                <w:lang w:val="en-US" w:eastAsia="zh-CN" w:bidi="ar"/>
              </w:rPr>
              <w:t>3 bottles</w:t>
            </w:r>
          </w:p>
        </w:tc>
      </w:tr>
    </w:tbl>
    <w:p w14:paraId="46C0BB94">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3"/>
          <w:szCs w:val="13"/>
        </w:rPr>
      </w:pPr>
      <w:r>
        <w:rPr>
          <w:rFonts w:hint="default" w:ascii="Segoe UI" w:hAnsi="Segoe UI" w:eastAsia="Segoe UI" w:cs="Segoe UI"/>
          <w:b/>
          <w:bCs/>
          <w:caps w:val="0"/>
          <w:color w:val="0F1115"/>
          <w:spacing w:val="0"/>
          <w:sz w:val="13"/>
          <w:szCs w:val="13"/>
          <w:shd w:val="clear" w:fill="FFFFFF"/>
        </w:rPr>
        <w:t>4.4 Alcohol Swabs</w:t>
      </w:r>
    </w:p>
    <w:p w14:paraId="27FAC6D0">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One for the vial stopper + one for the injection site each day.</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90"/>
        <w:gridCol w:w="1295"/>
        <w:gridCol w:w="982"/>
        <w:gridCol w:w="1202"/>
      </w:tblGrid>
      <w:tr w14:paraId="7197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7807234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68B8053">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Per Week</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3797F719">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Total</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58B49EE">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100-count/box</w:t>
            </w:r>
          </w:p>
        </w:tc>
      </w:tr>
      <w:tr w14:paraId="3FA0D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B73462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8 weeks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37948DD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14 swabs (2/day)</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1A1C7C93">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112 swabs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289579AE">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 boxes</w:t>
            </w:r>
          </w:p>
        </w:tc>
      </w:tr>
      <w:tr w14:paraId="7F858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5DF538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12 weeks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76CD81D3">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14 swabs (2/day)</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C97F00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168 swabs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788B36E">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 boxes</w:t>
            </w:r>
          </w:p>
        </w:tc>
      </w:tr>
      <w:tr w14:paraId="7FFE7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6CB9782A">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16 weeks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4031C8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14 swabs (2/day)</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3D14F0A3">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224 swabs</w:t>
            </w:r>
          </w:p>
        </w:tc>
        <w:tc>
          <w:tcPr>
            <w:tcW w:w="0" w:type="auto"/>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1BDD560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3 boxes</w:t>
            </w:r>
          </w:p>
        </w:tc>
      </w:tr>
    </w:tbl>
    <w:p w14:paraId="6FA6B6D2">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V. Protocol Overview</w:t>
      </w:r>
    </w:p>
    <w:p w14:paraId="31AA06A6">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Concise summary of the once-daily regimen.</w:t>
      </w:r>
    </w:p>
    <w:p w14:paraId="2D3C18F9">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Goal:</w:t>
      </w:r>
      <w:r>
        <w:rPr>
          <w:rFonts w:hint="default" w:ascii="Segoe UI" w:hAnsi="Segoe UI" w:eastAsia="Segoe UI" w:cs="Segoe UI"/>
          <w:i w:val="0"/>
          <w:iCs w:val="0"/>
          <w:caps w:val="0"/>
          <w:color w:val="0F1115"/>
          <w:spacing w:val="0"/>
          <w:sz w:val="13"/>
          <w:szCs w:val="13"/>
          <w:shd w:val="clear" w:fill="FFFFFF"/>
        </w:rPr>
        <w:t xml:space="preserve"> Targeted reduction of fat mass via vascular targeting in adipose tissue[2][8]</w:t>
      </w:r>
    </w:p>
    <w:p w14:paraId="14658BBA">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Schedule:</w:t>
      </w:r>
      <w:r>
        <w:rPr>
          <w:rFonts w:hint="default" w:ascii="Segoe UI" w:hAnsi="Segoe UI" w:eastAsia="Segoe UI" w:cs="Segoe UI"/>
          <w:i w:val="0"/>
          <w:iCs w:val="0"/>
          <w:caps w:val="0"/>
          <w:color w:val="0F1115"/>
          <w:spacing w:val="0"/>
          <w:sz w:val="13"/>
          <w:szCs w:val="13"/>
          <w:shd w:val="clear" w:fill="FFFFFF"/>
        </w:rPr>
        <w:t xml:space="preserve"> Daily subcutaneous injections for 4–8 weeks (cautious approach due to limited human data)[3][9]</w:t>
      </w:r>
    </w:p>
    <w:p w14:paraId="31025334">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Dose Range:</w:t>
      </w:r>
      <w:r>
        <w:rPr>
          <w:rFonts w:hint="default" w:ascii="Segoe UI" w:hAnsi="Segoe UI" w:eastAsia="Segoe UI" w:cs="Segoe UI"/>
          <w:i w:val="0"/>
          <w:iCs w:val="0"/>
          <w:caps w:val="0"/>
          <w:color w:val="0F1115"/>
          <w:spacing w:val="0"/>
          <w:sz w:val="13"/>
          <w:szCs w:val="13"/>
          <w:shd w:val="clear" w:fill="FFFFFF"/>
        </w:rPr>
        <w:t xml:space="preserve"> 250–1,000 mcg daily with gradual titration every 2 weeks</w:t>
      </w:r>
    </w:p>
    <w:p w14:paraId="70C7281B">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Reconstitution:</w:t>
      </w:r>
      <w:r>
        <w:rPr>
          <w:rFonts w:hint="default" w:ascii="Segoe UI" w:hAnsi="Segoe UI" w:eastAsia="Segoe UI" w:cs="Segoe UI"/>
          <w:i w:val="0"/>
          <w:iCs w:val="0"/>
          <w:caps w:val="0"/>
          <w:color w:val="0F1115"/>
          <w:spacing w:val="0"/>
          <w:sz w:val="13"/>
          <w:szCs w:val="13"/>
          <w:shd w:val="clear" w:fill="FFFFFF"/>
        </w:rPr>
        <w:t xml:space="preserve"> 5 mg vial with 1.5 mL; 10 mg vial with 3.0 mL (~3.33 mg/mL) for accurate unit measurements</w:t>
      </w:r>
    </w:p>
    <w:p w14:paraId="7EF3E3FF">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Storage:</w:t>
      </w:r>
      <w:r>
        <w:rPr>
          <w:rFonts w:hint="default" w:ascii="Segoe UI" w:hAnsi="Segoe UI" w:eastAsia="Segoe UI" w:cs="Segoe UI"/>
          <w:i w:val="0"/>
          <w:iCs w:val="0"/>
          <w:caps w:val="0"/>
          <w:color w:val="0F1115"/>
          <w:spacing w:val="0"/>
          <w:sz w:val="13"/>
          <w:szCs w:val="13"/>
          <w:shd w:val="clear" w:fill="FFFFFF"/>
        </w:rPr>
        <w:t xml:space="preserve"> Lyophilized powder frozen; reconstituted refrigerated; avoid repeated freeze-thaw[5]</w:t>
      </w:r>
    </w:p>
    <w:p w14:paraId="119DAEBF">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VI. Dosing Protocol</w:t>
      </w:r>
    </w:p>
    <w:p w14:paraId="5FA5D208">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Suggested daily titration approach.</w:t>
      </w:r>
    </w:p>
    <w:p w14:paraId="6F643BC0">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Start:</w:t>
      </w:r>
      <w:r>
        <w:rPr>
          <w:rFonts w:hint="default" w:ascii="Segoe UI" w:hAnsi="Segoe UI" w:eastAsia="Segoe UI" w:cs="Segoe UI"/>
          <w:i w:val="0"/>
          <w:iCs w:val="0"/>
          <w:caps w:val="0"/>
          <w:color w:val="0F1115"/>
          <w:spacing w:val="0"/>
          <w:sz w:val="13"/>
          <w:szCs w:val="13"/>
          <w:shd w:val="clear" w:fill="FFFFFF"/>
        </w:rPr>
        <w:t xml:space="preserve"> 250 mcg daily for Weeks 1–2; increase by 250 mcg every 2 weeks as tolerated[3][9]</w:t>
      </w:r>
    </w:p>
    <w:p w14:paraId="0EB5866D">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Target:</w:t>
      </w:r>
      <w:r>
        <w:rPr>
          <w:rFonts w:hint="default" w:ascii="Segoe UI" w:hAnsi="Segoe UI" w:eastAsia="Segoe UI" w:cs="Segoe UI"/>
          <w:i w:val="0"/>
          <w:iCs w:val="0"/>
          <w:caps w:val="0"/>
          <w:color w:val="0F1115"/>
          <w:spacing w:val="0"/>
          <w:sz w:val="13"/>
          <w:szCs w:val="13"/>
          <w:shd w:val="clear" w:fill="FFFFFF"/>
        </w:rPr>
        <w:t xml:space="preserve"> Up to 1,000 mcg (1.0 mg) daily by Weeks 7–8 (if well-tolerated)</w:t>
      </w:r>
    </w:p>
    <w:p w14:paraId="738F30AC">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Frequency:</w:t>
      </w:r>
      <w:r>
        <w:rPr>
          <w:rFonts w:hint="default" w:ascii="Segoe UI" w:hAnsi="Segoe UI" w:eastAsia="Segoe UI" w:cs="Segoe UI"/>
          <w:i w:val="0"/>
          <w:iCs w:val="0"/>
          <w:caps w:val="0"/>
          <w:color w:val="0F1115"/>
          <w:spacing w:val="0"/>
          <w:sz w:val="13"/>
          <w:szCs w:val="13"/>
          <w:shd w:val="clear" w:fill="FFFFFF"/>
        </w:rPr>
        <w:t xml:space="preserve"> Once per day (subcutaneous)</w:t>
      </w:r>
    </w:p>
    <w:p w14:paraId="4795F00B">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Cycle Length:</w:t>
      </w:r>
      <w:r>
        <w:rPr>
          <w:rFonts w:hint="default" w:ascii="Segoe UI" w:hAnsi="Segoe UI" w:eastAsia="Segoe UI" w:cs="Segoe UI"/>
          <w:i w:val="0"/>
          <w:iCs w:val="0"/>
          <w:caps w:val="0"/>
          <w:color w:val="0F1115"/>
          <w:spacing w:val="0"/>
          <w:sz w:val="13"/>
          <w:szCs w:val="13"/>
          <w:shd w:val="clear" w:fill="FFFFFF"/>
        </w:rPr>
        <w:t xml:space="preserve"> 4–8 weeks (based on preclinical effective treatment duration; extend with extreme caution)</w:t>
      </w:r>
    </w:p>
    <w:p w14:paraId="35FCB8CB">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Timing:</w:t>
      </w:r>
      <w:r>
        <w:rPr>
          <w:rFonts w:hint="default" w:ascii="Segoe UI" w:hAnsi="Segoe UI" w:eastAsia="Segoe UI" w:cs="Segoe UI"/>
          <w:i w:val="0"/>
          <w:iCs w:val="0"/>
          <w:caps w:val="0"/>
          <w:color w:val="0F1115"/>
          <w:spacing w:val="0"/>
          <w:sz w:val="13"/>
          <w:szCs w:val="13"/>
          <w:shd w:val="clear" w:fill="FFFFFF"/>
        </w:rPr>
        <w:t xml:space="preserve"> Any consistent time; rotate injection sites systematically</w:t>
      </w:r>
    </w:p>
    <w:p w14:paraId="5040DAC4">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VII. Storage Instructions</w:t>
      </w:r>
    </w:p>
    <w:p w14:paraId="632133E8">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Proper storage preserves peptide integrity.</w:t>
      </w:r>
    </w:p>
    <w:p w14:paraId="54F5312D">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Lyophilized:</w:t>
      </w:r>
      <w:r>
        <w:rPr>
          <w:rFonts w:hint="default" w:ascii="Segoe UI" w:hAnsi="Segoe UI" w:eastAsia="Segoe UI" w:cs="Segoe UI"/>
          <w:i w:val="0"/>
          <w:iCs w:val="0"/>
          <w:caps w:val="0"/>
          <w:color w:val="0F1115"/>
          <w:spacing w:val="0"/>
          <w:sz w:val="13"/>
          <w:szCs w:val="13"/>
          <w:shd w:val="clear" w:fill="FFFFFF"/>
        </w:rPr>
        <w:t xml:space="preserve"> Store at −20°C (−4°F) in dry, dark conditions; minimize moisture exposure[5]</w:t>
      </w:r>
    </w:p>
    <w:p w14:paraId="38EEB30B">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Reconstituted:</w:t>
      </w:r>
      <w:r>
        <w:rPr>
          <w:rFonts w:hint="default" w:ascii="Segoe UI" w:hAnsi="Segoe UI" w:eastAsia="Segoe UI" w:cs="Segoe UI"/>
          <w:i w:val="0"/>
          <w:iCs w:val="0"/>
          <w:caps w:val="0"/>
          <w:color w:val="0F1115"/>
          <w:spacing w:val="0"/>
          <w:sz w:val="13"/>
          <w:szCs w:val="13"/>
          <w:shd w:val="clear" w:fill="FFFFFF"/>
        </w:rPr>
        <w:t xml:space="preserve"> Refrigerate at 2–8°C (35.6–46.4°F); prepare aliquots if needed and avoid freeze-thaw[5]</w:t>
      </w:r>
    </w:p>
    <w:p w14:paraId="3A14B61B">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Allow vials to reach room temperature before opening to reduce condensation uptake</w:t>
      </w:r>
    </w:p>
    <w:p w14:paraId="1889891C">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VIII. Important Notes</w:t>
      </w:r>
    </w:p>
    <w:p w14:paraId="40EF593B">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Practical considerations for consistency and safety.</w:t>
      </w:r>
    </w:p>
    <w:p w14:paraId="7DF95BE6">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Use new sterile insulin syringes for each injection; dispose in a sharps container</w:t>
      </w:r>
    </w:p>
    <w:p w14:paraId="0BF7DC8E">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Rotate injection sites (abdomen, thighs, upper arms) to reduce local irritation</w:t>
      </w:r>
    </w:p>
    <w:p w14:paraId="5A4C352A">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Inject slowly; wait a few seconds before withdrawing the needle[6][7]</w:t>
      </w:r>
    </w:p>
    <w:p w14:paraId="716D3EC6">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Document daily dose and site rotation to maintain consistency</w:t>
      </w:r>
    </w:p>
    <w:p w14:paraId="25D2575E">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Safety consideration:</w:t>
      </w:r>
      <w:r>
        <w:rPr>
          <w:rFonts w:hint="default" w:ascii="Segoe UI" w:hAnsi="Segoe UI" w:eastAsia="Segoe UI" w:cs="Segoe UI"/>
          <w:i w:val="0"/>
          <w:iCs w:val="0"/>
          <w:caps w:val="0"/>
          <w:color w:val="0F1115"/>
          <w:spacing w:val="0"/>
          <w:sz w:val="13"/>
          <w:szCs w:val="13"/>
          <w:shd w:val="clear" w:fill="FFFFFF"/>
        </w:rPr>
        <w:t xml:space="preserve"> Clinical development was discontinued due to safety concerns, including reversible kidney toxicity at higher doses[3][4]. This protocol is for educational purposes only.</w:t>
      </w:r>
    </w:p>
    <w:p w14:paraId="029426DC">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IX. Potential Benefits and Side Effects</w:t>
      </w:r>
    </w:p>
    <w:p w14:paraId="466F349C">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Observations from preclinical literature and limited human data.</w:t>
      </w:r>
    </w:p>
    <w:p w14:paraId="7D0C511B">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3"/>
          <w:szCs w:val="13"/>
        </w:rPr>
      </w:pPr>
      <w:r>
        <w:rPr>
          <w:rFonts w:hint="default" w:ascii="Segoe UI" w:hAnsi="Segoe UI" w:eastAsia="Segoe UI" w:cs="Segoe UI"/>
          <w:b/>
          <w:bCs/>
          <w:caps w:val="0"/>
          <w:color w:val="0F1115"/>
          <w:spacing w:val="0"/>
          <w:sz w:val="13"/>
          <w:szCs w:val="13"/>
          <w:shd w:val="clear" w:fill="FFFFFF"/>
        </w:rPr>
        <w:t>Potential Benefits</w:t>
      </w:r>
    </w:p>
    <w:p w14:paraId="2869071F">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Preclinical studies showed notable targeted fat mass reduction (up to 30% body weight in rodents, ~11% in primates over 4 weeks)[1][2][8][9]</w:t>
      </w:r>
    </w:p>
    <w:p w14:paraId="7E68AC07">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Mechanism specifically targets adipose tissue vasculature, sparing other tissues in preclinical models[2]</w:t>
      </w:r>
    </w:p>
    <w:p w14:paraId="0A26478D">
      <w:pPr>
        <w:pStyle w:val="4"/>
        <w:keepNext w:val="0"/>
        <w:keepLines w:val="0"/>
        <w:widowControl/>
        <w:suppressLineNumbers w:val="0"/>
        <w:shd w:val="clear" w:fill="FFFFFF"/>
        <w:spacing w:before="320" w:beforeAutospacing="0" w:after="160" w:afterAutospacing="0" w:line="300" w:lineRule="atLeast"/>
        <w:ind w:left="0" w:right="0" w:firstLine="0"/>
        <w:rPr>
          <w:rFonts w:hint="default" w:ascii="Segoe UI" w:hAnsi="Segoe UI" w:eastAsia="Segoe UI" w:cs="Segoe UI"/>
          <w:b/>
          <w:bCs/>
          <w:caps w:val="0"/>
          <w:color w:val="0F1115"/>
          <w:spacing w:val="0"/>
          <w:sz w:val="13"/>
          <w:szCs w:val="13"/>
        </w:rPr>
      </w:pPr>
      <w:r>
        <w:rPr>
          <w:rFonts w:hint="default" w:ascii="Segoe UI" w:hAnsi="Segoe UI" w:eastAsia="Segoe UI" w:cs="Segoe UI"/>
          <w:b/>
          <w:bCs/>
          <w:caps w:val="0"/>
          <w:color w:val="0F1115"/>
          <w:spacing w:val="0"/>
          <w:sz w:val="13"/>
          <w:szCs w:val="13"/>
          <w:shd w:val="clear" w:fill="FFFFFF"/>
        </w:rPr>
        <w:t>Safety and Side Effects</w:t>
      </w:r>
    </w:p>
    <w:p w14:paraId="613842C0">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Safety concerns:</w:t>
      </w:r>
      <w:r>
        <w:rPr>
          <w:rFonts w:hint="default" w:ascii="Segoe UI" w:hAnsi="Segoe UI" w:eastAsia="Segoe UI" w:cs="Segoe UI"/>
          <w:i w:val="0"/>
          <w:iCs w:val="0"/>
          <w:caps w:val="0"/>
          <w:color w:val="0F1115"/>
          <w:spacing w:val="0"/>
          <w:sz w:val="13"/>
          <w:szCs w:val="13"/>
          <w:shd w:val="clear" w:fill="FFFFFF"/>
        </w:rPr>
        <w:t xml:space="preserve"> Clinical development was discontinued due to safety issues[3][4]; reversible kidney toxicity was dose-dependent in preclinical studies[1]</w:t>
      </w:r>
    </w:p>
    <w:p w14:paraId="1F2FEE19">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Mild injection-site reactions (redness, swelling) may occur with subcutaneous administration</w:t>
      </w:r>
    </w:p>
    <w:p w14:paraId="451BBD07">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b/>
          <w:bCs/>
          <w:i w:val="0"/>
          <w:iCs w:val="0"/>
          <w:caps w:val="0"/>
          <w:color w:val="0F1115"/>
          <w:spacing w:val="0"/>
          <w:sz w:val="13"/>
          <w:szCs w:val="13"/>
          <w:shd w:val="clear" w:fill="FFFFFF"/>
        </w:rPr>
        <w:t>Limited human data:</w:t>
      </w:r>
      <w:r>
        <w:rPr>
          <w:rFonts w:hint="default" w:ascii="Segoe UI" w:hAnsi="Segoe UI" w:eastAsia="Segoe UI" w:cs="Segoe UI"/>
          <w:i w:val="0"/>
          <w:iCs w:val="0"/>
          <w:caps w:val="0"/>
          <w:color w:val="0F1115"/>
          <w:spacing w:val="0"/>
          <w:sz w:val="13"/>
          <w:szCs w:val="13"/>
          <w:shd w:val="clear" w:fill="FFFFFF"/>
        </w:rPr>
        <w:t xml:space="preserve"> Only Phase 1 trial data available; long-term safety profile in humans is unknown</w:t>
      </w:r>
    </w:p>
    <w:p w14:paraId="2B8A97DA">
      <w:pPr>
        <w:pStyle w:val="3"/>
        <w:keepNext w:val="0"/>
        <w:keepLines w:val="0"/>
        <w:widowControl/>
        <w:suppressLineNumbers w:val="0"/>
        <w:shd w:val="clear" w:fill="FFFFFF"/>
        <w:spacing w:before="320" w:beforeAutospacing="0" w:after="160" w:afterAutospacing="0" w:line="320" w:lineRule="atLeast"/>
        <w:ind w:left="0" w:right="0" w:firstLine="0"/>
        <w:rPr>
          <w:rFonts w:hint="default" w:ascii="Segoe UI" w:hAnsi="Segoe UI" w:eastAsia="Segoe UI" w:cs="Segoe UI"/>
          <w:b/>
          <w:bCs/>
          <w:caps w:val="0"/>
          <w:color w:val="0F1115"/>
          <w:spacing w:val="0"/>
          <w:sz w:val="20"/>
          <w:szCs w:val="20"/>
        </w:rPr>
      </w:pPr>
      <w:r>
        <w:rPr>
          <w:rFonts w:hint="default" w:ascii="Segoe UI" w:hAnsi="Segoe UI" w:eastAsia="Segoe UI" w:cs="Segoe UI"/>
          <w:b/>
          <w:bCs/>
          <w:caps w:val="0"/>
          <w:color w:val="0F1115"/>
          <w:spacing w:val="0"/>
          <w:sz w:val="20"/>
          <w:szCs w:val="20"/>
          <w:shd w:val="clear" w:fill="FFFFFF"/>
        </w:rPr>
        <w:t>X. Injection Technique</w:t>
      </w:r>
    </w:p>
    <w:p w14:paraId="153A9F09">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3"/>
          <w:szCs w:val="13"/>
        </w:rPr>
      </w:pPr>
      <w:r>
        <w:rPr>
          <w:rFonts w:hint="default" w:ascii="Segoe UI" w:hAnsi="Segoe UI" w:eastAsia="Segoe UI" w:cs="Segoe UI"/>
          <w:i w:val="0"/>
          <w:iCs w:val="0"/>
          <w:caps w:val="0"/>
          <w:color w:val="0F1115"/>
          <w:spacing w:val="0"/>
          <w:sz w:val="13"/>
          <w:szCs w:val="13"/>
          <w:shd w:val="clear" w:fill="FFFFFF"/>
        </w:rPr>
        <w:t>General subcutaneous guidance from clinical best-practice resources[6][7].</w:t>
      </w:r>
    </w:p>
    <w:p w14:paraId="0C0EEA5C">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Clean the vial stopper and skin with alcohol; allow to dry fully</w:t>
      </w:r>
    </w:p>
    <w:p w14:paraId="528DD69A">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Pinch a skinfold; insert the needle at a 45–90° angle into subcutaneous tissue (45° if limited subcutaneous fat, 90° if ample tissue)[6]</w:t>
      </w:r>
    </w:p>
    <w:p w14:paraId="1710FD12">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Do not aspirate for subcutaneous injections; inject slowly and steadily[7]</w:t>
      </w:r>
    </w:p>
    <w:p w14:paraId="2DAC32F0">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Systematically rotate sites (abdomen, thighs, upper arms) to avoid lipohypertrophy and local irritation</w:t>
      </w:r>
    </w:p>
    <w:p w14:paraId="76BC4D50">
      <w:pPr>
        <w:pStyle w:val="5"/>
        <w:keepNext w:val="0"/>
        <w:keepLines w:val="0"/>
        <w:widowControl/>
        <w:suppressLineNumbers w:val="0"/>
        <w:spacing w:before="0" w:beforeAutospacing="0" w:after="0" w:afterAutospacing="0"/>
        <w:ind w:left="0" w:right="0"/>
        <w:rPr>
          <w:sz w:val="13"/>
          <w:szCs w:val="13"/>
        </w:rPr>
      </w:pPr>
      <w:r>
        <w:rPr>
          <w:rFonts w:hint="default" w:ascii="Segoe UI" w:hAnsi="Segoe UI" w:eastAsia="Segoe UI" w:cs="Segoe UI"/>
          <w:i w:val="0"/>
          <w:iCs w:val="0"/>
          <w:caps w:val="0"/>
          <w:color w:val="0F1115"/>
          <w:spacing w:val="0"/>
          <w:sz w:val="13"/>
          <w:szCs w:val="13"/>
          <w:shd w:val="clear" w:fill="FFFFFF"/>
        </w:rPr>
        <w:t>Wait a moment before withdrawing the needle; apply gentle pressure but do not rub the injection site</w:t>
      </w:r>
    </w:p>
    <w:p w14:paraId="4E0AE455">
      <w:pPr>
        <w:pStyle w:val="5"/>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16"/>
          <w:szCs w:val="16"/>
        </w:rPr>
      </w:pPr>
      <w:r>
        <w:rPr>
          <w:rFonts w:hint="default" w:ascii="Segoe UI" w:hAnsi="Segoe UI" w:eastAsia="Segoe UI" w:cs="Segoe UI"/>
          <w:b/>
          <w:bCs/>
          <w:i w:val="0"/>
          <w:iCs w:val="0"/>
          <w:caps w:val="0"/>
          <w:color w:val="FF0000"/>
          <w:spacing w:val="0"/>
          <w:sz w:val="16"/>
          <w:szCs w:val="16"/>
          <w:shd w:val="clear" w:fill="FFFFFF"/>
        </w:rPr>
        <w:t>Important Statement:</w:t>
      </w:r>
      <w:r>
        <w:rPr>
          <w:rFonts w:hint="default" w:ascii="Segoe UI" w:hAnsi="Segoe UI" w:eastAsia="Segoe UI" w:cs="Segoe UI"/>
          <w:i w:val="0"/>
          <w:iCs w:val="0"/>
          <w:caps w:val="0"/>
          <w:color w:val="0F1115"/>
          <w:spacing w:val="0"/>
          <w:sz w:val="16"/>
          <w:szCs w:val="16"/>
          <w:shd w:val="clear" w:fill="FFFFFF"/>
        </w:rPr>
        <w:t xml:space="preserve"> This content is for educational and research reference only and does not constitute medical advice, diagnosis, or treatment. Adipotide's clinical development was discontinued due to safety concerns. This information is for research purposes only. Not for human consumption.</w:t>
      </w:r>
    </w:p>
    <w:p w14:paraId="566B091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313011"/>
    <w:rsid w:val="043130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7</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2026-10-16T08:35:00Z</dcterms:created>
  <dc:creator>一颗橘</dc:creator>
  <cp:lastModifiedBy>一颗橘</cp:lastModifiedBy>
  <dcterms:modified xsi:type="dcterms:W3CDTF">2026-10-16T08:43:48Z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6578CFD31A1B47AFAA336DAC3A838B3D_11</vt:lpwstr>
  </property>
  <property fmtid="{D5CDD505-2E9C-101B-9397-08002B2CF9AE}" pid="4" name="KSOTemplateDocerSaveRecord">
    <vt:lpwstr>eyJoZGlkIjoiZjVhNGJiMWVmZTg4ZjFhYWZhYWFiMzBkODkwYWRkZmUiLCJ1c2VySWQiOiIxMDg3MzM0MTkzIn0=</vt:lpwstr>
  </property>
</Properties>
</file>