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B7031">
      <w:pPr>
        <w:pStyle w:val="2"/>
        <w:keepNext w:val="0"/>
        <w:keepLines w:val="0"/>
        <w:widowControl/>
        <w:suppressLineNumbers w:val="0"/>
        <w:spacing w:before="0" w:beforeAutospacing="0" w:after="160" w:afterAutospacing="0" w:line="340" w:lineRule="atLeast"/>
        <w:ind w:left="440" w:right="440"/>
        <w:jc w:val="center"/>
        <w:rPr>
          <w:rFonts w:ascii="Segoe UI" w:hAnsi="Segoe UI" w:eastAsia="Segoe UI" w:cs="Segoe UI"/>
          <w:b/>
          <w:bCs/>
          <w:sz w:val="28"/>
          <w:szCs w:val="28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Comprehensive Guide to Cartalax Dosage Protocols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(20 mg Vial)</w:t>
      </w:r>
    </w:p>
    <w:p w14:paraId="15AED764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I. Overview</w:t>
      </w:r>
    </w:p>
    <w:p w14:paraId="54CACAD1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Cartalax is a synthetic tripeptide bioregulator (Ala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Glu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Asp; sequence "AED") developed by Prof. Vladimir Khavinson at the St. Petersburg Institute of Bioregulation and Gerontology[1]. Preclinical studies indicate it may modulate fibroblast proliferation markers (Ki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67), reduce pro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apoptotic signaling (p53, caspase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3), and support extracellular matrix homeostasis[2][3].</w:t>
      </w:r>
    </w:p>
    <w:p w14:paraId="5BCCA426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In educational protocols, Cartalax is typically administered via subcutaneous injection at a daily dose of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2 mg–5 mg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. A 20 mg vial reconstituted with bacteriostatic water yields a concentration of approximately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6.67 mg/mL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.</w:t>
      </w:r>
    </w:p>
    <w:p w14:paraId="61ABF6BF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This guide covers dosage protocols for the 20 mg vial size of Cartalax.</w:t>
      </w:r>
    </w:p>
    <w:p w14:paraId="1CE4D993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II. Dosage and Reconstitution Guidelines</w:t>
      </w:r>
    </w:p>
    <w:p w14:paraId="5151A9CA">
      <w:pPr>
        <w:pStyle w:val="4"/>
        <w:keepNext w:val="0"/>
        <w:keepLines w:val="0"/>
        <w:widowControl/>
        <w:suppressLineNumbers w:val="0"/>
        <w:spacing w:before="320" w:beforeAutospacing="0" w:after="160" w:afterAutospacing="0" w:line="300" w:lineRule="atLeast"/>
        <w:ind w:right="440"/>
        <w:rPr>
          <w:rFonts w:hint="default" w:ascii="Segoe UI" w:hAnsi="Segoe UI" w:eastAsia="Segoe UI" w:cs="Segoe UI"/>
          <w:b/>
          <w:bCs/>
          <w:sz w:val="18"/>
          <w:szCs w:val="18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2.1 20 mg Vial</w:t>
      </w:r>
    </w:p>
    <w:p w14:paraId="0849EC4B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Add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3.0 mL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of bacteriostatic water → concentration approx.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6.67 mg/mL</w:t>
      </w:r>
    </w:p>
    <w:p w14:paraId="027DE0B4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U-100 Insulin Syringe Conversion: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1 unit = 0.01 mL ≈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66.67 mcg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(0.06667 mg)</w:t>
      </w:r>
    </w:p>
    <w:p w14:paraId="02FCFB77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Post-Reconstitution Shelf Life: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Use under refrigeration (2–8°C); avoid freeze–thaw cycles</w:t>
      </w:r>
    </w:p>
    <w:p w14:paraId="08BD3441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5"/>
          <w:szCs w:val="15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Standard/Gradual Approach (concentration 6.67 mg/mL):</w:t>
      </w:r>
    </w:p>
    <w:tbl>
      <w:tblPr>
        <w:tblW w:w="0" w:type="auto"/>
        <w:tblInd w:w="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3"/>
        <w:gridCol w:w="1138"/>
        <w:gridCol w:w="1655"/>
        <w:gridCol w:w="1678"/>
        <w:gridCol w:w="1161"/>
      </w:tblGrid>
      <w:tr w14:paraId="786C0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D5CC2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Phase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BEDDB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DCF81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Daily Dose (mcg / mg)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48030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Injection Volume (mL)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8D7C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Units</w:t>
            </w:r>
          </w:p>
        </w:tc>
      </w:tr>
      <w:tr w14:paraId="2AF43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F3668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Initial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F7A5D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1–2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68B3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2,000 mcg (2.0 mg)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0F650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0.30 mL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F222F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30 units</w:t>
            </w:r>
          </w:p>
        </w:tc>
      </w:tr>
      <w:tr w14:paraId="19A61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F4DB8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Escalation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B2399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3–4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C86E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3,000 mcg (3.0 mg)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0E23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0.45 mL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26B9A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45 units</w:t>
            </w:r>
          </w:p>
        </w:tc>
      </w:tr>
      <w:tr w14:paraId="16E8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CD61F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Escalation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74437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5–8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4F87D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4,000 mcg (4.0 mg)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E956F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0.60 mL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20CB7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60 units</w:t>
            </w:r>
          </w:p>
        </w:tc>
      </w:tr>
      <w:tr w14:paraId="65D00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70055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Maintenance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01461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9–12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32EE7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5,000 mcg (5.0 mg)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4AB1A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0.75 mL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2050C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75 units</w:t>
            </w:r>
          </w:p>
        </w:tc>
      </w:tr>
    </w:tbl>
    <w:p w14:paraId="131877A8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Injection Frequency: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Once daily (subcutaneous)</w:t>
      </w:r>
    </w:p>
    <w:p w14:paraId="7018A1F8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Cycle Length: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8–12 weeks; optional extension to 16 weeks</w:t>
      </w:r>
    </w:p>
    <w:p w14:paraId="2128A321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Note: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This schedule uses the largest practical dilution volume (3.0 mL) to keep per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injection volumes within typical subcutaneous tolerability parameters (≤~1.0 mL per site)[9][10].</w:t>
      </w:r>
    </w:p>
    <w:p w14:paraId="41013112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III. Reconstitution Steps (General)</w:t>
      </w:r>
    </w:p>
    <w:p w14:paraId="2DC34C8E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1、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Draw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3.0 mL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of bacteriostatic water with a sterile syringe</w:t>
      </w:r>
    </w:p>
    <w:p w14:paraId="4122EF2C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2、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Insert the needle through the stopper; let the diluent run slowly down the vial wall to avoid foaming</w:t>
      </w:r>
    </w:p>
    <w:p w14:paraId="08992F0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3、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Gently swirl or roll until fully dissolved (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 not shake vigorously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)</w:t>
      </w:r>
    </w:p>
    <w:p w14:paraId="4C18E53F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4、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Label with reconstitution date and concentration; refrigerate at 2–8°C (35.6–46.4°F), protected from light</w:t>
      </w:r>
    </w:p>
    <w:p w14:paraId="6210C5B0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5、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Avoid freeze–thaw cycles after reconstitution; discard if cloudiness or particles appear</w:t>
      </w:r>
    </w:p>
    <w:p w14:paraId="1968AAF4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IV. Supplies Needed</w:t>
      </w:r>
    </w:p>
    <w:p w14:paraId="635A4FBD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Plan based on an 8–16 week daily protocol with gradual titration (average ~3.5 mg/day).</w:t>
      </w:r>
    </w:p>
    <w:p w14:paraId="30AF31D0">
      <w:pPr>
        <w:pStyle w:val="4"/>
        <w:keepNext w:val="0"/>
        <w:keepLines w:val="0"/>
        <w:widowControl/>
        <w:suppressLineNumbers w:val="0"/>
        <w:spacing w:before="320" w:beforeAutospacing="0" w:after="160" w:afterAutospacing="0" w:line="300" w:lineRule="atLeast"/>
        <w:ind w:right="440"/>
        <w:rPr>
          <w:rFonts w:hint="default" w:ascii="Segoe UI" w:hAnsi="Segoe UI" w:eastAsia="Segoe UI" w:cs="Segoe UI"/>
          <w:b/>
          <w:bCs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4.1 Peptide Vials (Cartalax, 20 mg each)</w:t>
      </w:r>
    </w:p>
    <w:tbl>
      <w:tblPr>
        <w:tblW w:w="3632" w:type="dxa"/>
        <w:tblInd w:w="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1"/>
        <w:gridCol w:w="1460"/>
        <w:gridCol w:w="1391"/>
      </w:tblGrid>
      <w:tr w14:paraId="62A03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8D75E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9D5B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Vials Required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B51F6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 Amount</w:t>
            </w:r>
          </w:p>
        </w:tc>
      </w:tr>
      <w:tr w14:paraId="1B39F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591C2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56626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approx. 10 vials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C4CA98">
            <w:pPr>
              <w:keepNext w:val="0"/>
              <w:keepLines w:val="0"/>
              <w:widowControl/>
              <w:suppressLineNumbers w:val="0"/>
              <w:spacing w:line="250" w:lineRule="atLeast"/>
              <w:ind w:right="8123" w:rightChars="3868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1955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8295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357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approx. 15 vials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9E30B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0569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7C487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266C5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approx. 20 vials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7AD03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—</w:t>
            </w:r>
          </w:p>
        </w:tc>
      </w:tr>
    </w:tbl>
    <w:p w14:paraId="053A6DCE">
      <w:pPr>
        <w:pStyle w:val="4"/>
        <w:keepNext w:val="0"/>
        <w:keepLines w:val="0"/>
        <w:widowControl/>
        <w:suppressLineNumbers w:val="0"/>
        <w:spacing w:before="320" w:beforeAutospacing="0" w:after="160" w:afterAutospacing="0" w:line="300" w:lineRule="atLeast"/>
        <w:ind w:right="440"/>
        <w:rPr>
          <w:rFonts w:hint="default" w:ascii="Segoe UI" w:hAnsi="Segoe UI" w:eastAsia="Segoe UI" w:cs="Segoe UI"/>
          <w:b/>
          <w:bCs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4.2 Syringes (U-100 Insulin Syringes)</w:t>
      </w:r>
    </w:p>
    <w:tbl>
      <w:tblPr>
        <w:tblW w:w="2736" w:type="dxa"/>
        <w:tblInd w:w="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9"/>
        <w:gridCol w:w="1046"/>
        <w:gridCol w:w="931"/>
      </w:tblGrid>
      <w:tr w14:paraId="7DCD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B6792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4015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Per Week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0E8A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</w:t>
            </w:r>
          </w:p>
        </w:tc>
      </w:tr>
      <w:tr w14:paraId="3E906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C7F1E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6A12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(1/day)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42B13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56</w:t>
            </w:r>
          </w:p>
        </w:tc>
      </w:tr>
      <w:tr w14:paraId="359F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A7343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1F3FA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(1/day)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D8BEE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1CFE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1B71E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3A5E9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(1/day)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BF9B6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112</w:t>
            </w:r>
          </w:p>
        </w:tc>
      </w:tr>
    </w:tbl>
    <w:p w14:paraId="730C0452">
      <w:pPr>
        <w:pStyle w:val="4"/>
        <w:keepNext w:val="0"/>
        <w:keepLines w:val="0"/>
        <w:widowControl/>
        <w:suppressLineNumbers w:val="0"/>
        <w:spacing w:before="320" w:beforeAutospacing="0" w:after="160" w:afterAutospacing="0" w:line="300" w:lineRule="atLeast"/>
        <w:ind w:right="440"/>
        <w:rPr>
          <w:rFonts w:hint="default" w:ascii="Segoe UI" w:hAnsi="Segoe UI" w:eastAsia="Segoe UI" w:cs="Segoe UI"/>
          <w:b/>
          <w:bCs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4.3 Bacteriostatic Water (10 mL Bottles)</w:t>
      </w:r>
    </w:p>
    <w:p w14:paraId="43DF53E7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Use ~3.0 mL per vial for reconstitution.</w:t>
      </w:r>
    </w:p>
    <w:tbl>
      <w:tblPr>
        <w:tblW w:w="0" w:type="auto"/>
        <w:tblInd w:w="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9"/>
        <w:gridCol w:w="1242"/>
        <w:gridCol w:w="1402"/>
        <w:gridCol w:w="1230"/>
      </w:tblGrid>
      <w:tr w14:paraId="6AF6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025B3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92A4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Vials Required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C538D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 Volume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8E8A0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10 mL Bottles</w:t>
            </w:r>
          </w:p>
        </w:tc>
      </w:tr>
      <w:tr w14:paraId="3028A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A4772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 (10 vials)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86606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7559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30 mL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6605B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 bottles</w:t>
            </w:r>
          </w:p>
        </w:tc>
      </w:tr>
      <w:tr w14:paraId="06F8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E2A18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 (15 vials)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5594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481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45 mL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59922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5 bottles</w:t>
            </w:r>
          </w:p>
        </w:tc>
      </w:tr>
      <w:tr w14:paraId="47F2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A8685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 (20 vials)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9C5CC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F705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60 mL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D0A27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6 bottles</w:t>
            </w:r>
          </w:p>
        </w:tc>
      </w:tr>
    </w:tbl>
    <w:p w14:paraId="06A61D4B">
      <w:pPr>
        <w:pStyle w:val="4"/>
        <w:keepNext w:val="0"/>
        <w:keepLines w:val="0"/>
        <w:widowControl/>
        <w:suppressLineNumbers w:val="0"/>
        <w:spacing w:before="320" w:beforeAutospacing="0" w:after="160" w:afterAutospacing="0" w:line="300" w:lineRule="atLeast"/>
        <w:ind w:right="440"/>
        <w:rPr>
          <w:rFonts w:hint="default" w:ascii="Segoe UI" w:hAnsi="Segoe UI" w:eastAsia="Segoe UI" w:cs="Segoe UI"/>
          <w:b/>
          <w:bCs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4.4 Alcohol Swabs</w:t>
      </w:r>
    </w:p>
    <w:p w14:paraId="127EBD7A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One for the vial stopper + one for the injection site each day.</w:t>
      </w:r>
    </w:p>
    <w:tbl>
      <w:tblPr>
        <w:tblW w:w="0" w:type="auto"/>
        <w:tblInd w:w="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9"/>
        <w:gridCol w:w="1103"/>
        <w:gridCol w:w="782"/>
        <w:gridCol w:w="1034"/>
      </w:tblGrid>
      <w:tr w14:paraId="2FFCB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85036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39AEC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Per Week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06454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7643E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100/Box</w:t>
            </w:r>
          </w:p>
        </w:tc>
      </w:tr>
      <w:tr w14:paraId="4C7E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13A83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1FB00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14 (2/day)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DF3B0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00B90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2 boxes</w:t>
            </w:r>
          </w:p>
        </w:tc>
      </w:tr>
      <w:tr w14:paraId="7CED9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C469F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AE2DA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14 (2/day)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41862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6C539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2 boxes</w:t>
            </w:r>
          </w:p>
        </w:tc>
      </w:tr>
      <w:tr w14:paraId="7B9B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64F41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FA936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14 (2/day)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80820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CD90F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3"/>
                <w:szCs w:val="13"/>
              </w:rPr>
            </w:pPr>
            <w:r>
              <w:rPr>
                <w:rFonts w:hint="default" w:ascii="Segoe UI" w:hAnsi="Segoe UI" w:eastAsia="Segoe UI" w:cs="Segoe UI"/>
                <w:kern w:val="0"/>
                <w:sz w:val="13"/>
                <w:szCs w:val="13"/>
                <w:bdr w:val="none" w:color="auto" w:sz="0" w:space="0"/>
                <w:lang w:val="en-US" w:eastAsia="zh-CN" w:bidi="ar"/>
              </w:rPr>
              <w:t>3 boxes</w:t>
            </w:r>
          </w:p>
        </w:tc>
      </w:tr>
    </w:tbl>
    <w:p w14:paraId="4B2BC172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V. Protocol Overview</w:t>
      </w:r>
    </w:p>
    <w:p w14:paraId="53204005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Concise summary of the once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daily regimen.</w:t>
      </w:r>
    </w:p>
    <w:p w14:paraId="019140BE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Goal: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Support connective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tissue homeostasis and fibroblast function based on preclinical bioregulator research[2][3]</w:t>
      </w:r>
    </w:p>
    <w:p w14:paraId="4FFE4D24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Schedule: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Daily subcutaneous injections for 8–12 weeks (extend to 16 weeks if desired)</w:t>
      </w:r>
    </w:p>
    <w:p w14:paraId="24FC227B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Dose Range: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2,000–5,000 mcg daily with gradual titration</w:t>
      </w:r>
    </w:p>
    <w:p w14:paraId="3F7A900A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3.0 mL per 20 mg vial (~6.67 mg/mL) for accurate unit measurements</w:t>
      </w:r>
    </w:p>
    <w:p w14:paraId="08A9460B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Storage: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Lyophilized: refrigerate or freeze; reconstituted: refrigerate; avoid repeated freeze–thaw</w:t>
      </w:r>
    </w:p>
    <w:p w14:paraId="46295173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VI. Dosing Protocol</w:t>
      </w:r>
    </w:p>
    <w:p w14:paraId="66D309A0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Suggested daily titration approach.</w:t>
      </w:r>
    </w:p>
    <w:p w14:paraId="03918530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Start: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2,000 mcg daily; increase by ~1,000 mcg every 2 weeks as tolerated</w:t>
      </w:r>
    </w:p>
    <w:p w14:paraId="7B1DF40D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Target: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4,000–5,000 mcg daily by Weeks 5–12</w:t>
      </w:r>
    </w:p>
    <w:p w14:paraId="380CBCD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Frequency: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Once per day (subcutaneous)</w:t>
      </w:r>
    </w:p>
    <w:p w14:paraId="07DF07D8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Cycle Length: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8–12 weeks; optional extension to 16 weeks</w:t>
      </w:r>
    </w:p>
    <w:p w14:paraId="766C4984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Timing: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Any consistent time; rotate injection sites</w:t>
      </w:r>
    </w:p>
    <w:p w14:paraId="335B9924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VII. Storage Instructions</w:t>
      </w:r>
    </w:p>
    <w:p w14:paraId="5884743B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Proper storage preserves peptide quality.</w:t>
      </w:r>
    </w:p>
    <w:p w14:paraId="4DBF79EB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Lyophilized: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Store at 2–8°C (35.6–46.4°F) or freeze at −20°C (−4°F) for long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term stability; protect from light and moisture</w:t>
      </w:r>
    </w:p>
    <w:p w14:paraId="14E1F547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Reconstituted: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Refrigerate at 2–8°C (35.6–46.4°F); avoid freeze–thaw cycles</w:t>
      </w:r>
    </w:p>
    <w:p w14:paraId="455C0D8D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Allow vials to reach room temperature before opening to reduce condensation uptake</w:t>
      </w:r>
    </w:p>
    <w:p w14:paraId="44B29444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VIII. Important Notes</w:t>
      </w:r>
    </w:p>
    <w:p w14:paraId="6EABD366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Practical considerations for consistency and safety.</w:t>
      </w:r>
    </w:p>
    <w:p w14:paraId="7A39D21A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Use new sterile insulin syringes; dispose in a sharps container</w:t>
      </w:r>
    </w:p>
    <w:p w14:paraId="1474D067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Rotate injection sites (abdomen, thighs, upper arms) to reduce local irritation</w:t>
      </w:r>
    </w:p>
    <w:p w14:paraId="4A10EF08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Inject slowly; wait a few seconds before withdrawing the needle</w:t>
      </w:r>
    </w:p>
    <w:p w14:paraId="47868086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Document daily dose and site rotation to maintain consistency</w:t>
      </w:r>
    </w:p>
    <w:p w14:paraId="35470DBD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Evidence caveat: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Published human clinical trial data for subcutaneous Cartalax is limited; this protocol extrapolates from preclinical studies and standard peptide handling practices</w:t>
      </w:r>
    </w:p>
    <w:p w14:paraId="68145D3E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IX. Potential Benefits &amp; Side Effects</w:t>
      </w:r>
    </w:p>
    <w:p w14:paraId="7AC138A7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Observations from preclinical literature.</w:t>
      </w:r>
    </w:p>
    <w:p w14:paraId="0C5F6A79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Potential Benefits:</w:t>
      </w:r>
    </w:p>
    <w:p w14:paraId="4649660C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May support fibroblast proliferation and reduce markers of cellular senescence in aged cell cultures[2][3]</w:t>
      </w:r>
    </w:p>
    <w:p w14:paraId="5F5B3394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Preclinical data suggest modulation of extracellular matrix homeostasis via MMP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9 inhibition and collagen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related gene expression[6]</w:t>
      </w:r>
    </w:p>
    <w:p w14:paraId="7F594ECE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Safety &amp; Side Effects:</w:t>
      </w:r>
    </w:p>
    <w:p w14:paraId="135ABFD1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Khavinson bioregulator peptides have been described as well tolerated in observational settings; occasional mild injection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site reactions (redness, itch) may occur with subcutaneous administration[1]</w:t>
      </w:r>
    </w:p>
    <w:p w14:paraId="3C2BE2C8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Limitations: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No large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scale human RCTs; most data derive from in vitro or rodent models</w:t>
      </w:r>
    </w:p>
    <w:p w14:paraId="62D5E1D7">
      <w:pPr>
        <w:pStyle w:val="3"/>
        <w:keepNext w:val="0"/>
        <w:keepLines w:val="0"/>
        <w:widowControl/>
        <w:suppressLineNumbers w:val="0"/>
        <w:spacing w:before="320" w:beforeAutospacing="0" w:after="160" w:afterAutospacing="0" w:line="320" w:lineRule="atLeast"/>
        <w:ind w:right="440"/>
        <w:rPr>
          <w:rFonts w:hint="default" w:ascii="Segoe UI" w:hAnsi="Segoe UI" w:eastAsia="Segoe UI" w:cs="Segoe UI"/>
          <w:b/>
          <w:bCs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X. Injection Technique</w:t>
      </w:r>
    </w:p>
    <w:p w14:paraId="7955C000">
      <w:pPr>
        <w:pStyle w:val="7"/>
        <w:keepNext w:val="0"/>
        <w:keepLines w:val="0"/>
        <w:widowControl/>
        <w:suppressLineNumbers w:val="0"/>
        <w:spacing w:before="160" w:beforeAutospacing="0" w:after="16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General subcutaneous guidance from clinical best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noBreakHyphen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practice resources[8][12].</w:t>
      </w:r>
    </w:p>
    <w:p w14:paraId="669B9C1B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Clean the vial stopper and skin with alcohol; allow to dry</w:t>
      </w:r>
    </w:p>
    <w:p w14:paraId="52899A2C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Pinch a skinfold; insert the needle at 45–90° into subcutaneous tissue[8]</w:t>
      </w:r>
    </w:p>
    <w:p w14:paraId="3B2E04E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 not aspirate for subcutaneous injections; inject slowly and steadily[8]</w:t>
      </w:r>
    </w:p>
    <w:p w14:paraId="63FC0ECA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Rotate sites systematically (abdomen, thighs, upper arms) to avoid lipohypertrophy[12]</w:t>
      </w:r>
    </w:p>
    <w:p w14:paraId="53DF8FC1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280" w:lineRule="atLeast"/>
        <w:ind w:right="44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Hold for 5–10 seconds after injection before withdrawing the needle to ensure complete delivery</w:t>
      </w:r>
    </w:p>
    <w:p w14:paraId="1A8B98EB">
      <w:pPr>
        <w:pStyle w:val="7"/>
        <w:keepNext w:val="0"/>
        <w:keepLines w:val="0"/>
        <w:widowControl/>
        <w:suppressLineNumbers w:val="0"/>
        <w:spacing w:before="160" w:beforeAutospacing="0" w:after="0" w:afterAutospacing="0" w:line="280" w:lineRule="atLeast"/>
        <w:ind w:right="440"/>
        <w:rPr>
          <w:b/>
          <w:bCs/>
          <w:sz w:val="16"/>
          <w:szCs w:val="16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16"/>
          <w:szCs w:val="16"/>
          <w:shd w:val="clear" w:fill="FFFFFF"/>
        </w:rPr>
        <w:t>Important Note: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  <w:t xml:space="preserve"> This content is intended for therapeutic educational purposes only and does not constitute medical advice, diagnosis, or treatment. Cartalax is a research compound not approved by regulatory agencies for routine human use. Consult a qualified medical professional before use.</w:t>
      </w:r>
    </w:p>
    <w:p w14:paraId="676B65C0">
      <w:pPr>
        <w:rPr>
          <w:b/>
          <w:bCs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C56CE">
    <w:pPr>
      <w:keepNext w:val="0"/>
      <w:keepLines w:val="0"/>
      <w:widowControl/>
      <w:suppressLineNumbers w:val="0"/>
      <w:jc w:val="center"/>
      <w:rPr>
        <w:rFonts w:hint="eastAsia" w:ascii="微软雅黑" w:hAnsi="微软雅黑" w:eastAsia="微软雅黑" w:cs="微软雅黑"/>
        <w:b w:val="0"/>
        <w:bCs w:val="0"/>
        <w:i w:val="0"/>
        <w:iCs w:val="0"/>
        <w:caps w:val="0"/>
        <w:color w:val="BFBFBF" w:themeColor="background1" w:themeShade="BF"/>
        <w:spacing w:val="0"/>
        <w:kern w:val="0"/>
        <w:sz w:val="16"/>
        <w:szCs w:val="16"/>
        <w:u w:val="none"/>
        <w:lang w:val="en-US" w:eastAsia="zh-CN" w:bidi="ar"/>
      </w:rPr>
    </w:pPr>
    <w:r>
      <w:rPr>
        <w:rFonts w:hint="eastAsia" w:ascii="微软雅黑" w:hAnsi="微软雅黑" w:eastAsia="微软雅黑" w:cs="微软雅黑"/>
        <w:b w:val="0"/>
        <w:bCs w:val="0"/>
        <w:i w:val="0"/>
        <w:iCs w:val="0"/>
        <w:caps w:val="0"/>
        <w:color w:val="BFBFBF" w:themeColor="background1" w:themeShade="BF"/>
        <w:spacing w:val="0"/>
        <w:kern w:val="0"/>
        <w:sz w:val="16"/>
        <w:szCs w:val="16"/>
        <w:u w:val="none"/>
        <w:lang w:val="en-US" w:eastAsia="zh-CN" w:bidi="ar"/>
      </w:rPr>
      <w:t>This dosage reference is for informational and research purposes only.</w:t>
    </w:r>
  </w:p>
  <w:p w14:paraId="31E7B779">
    <w:pPr>
      <w:keepNext w:val="0"/>
      <w:keepLines w:val="0"/>
      <w:widowControl/>
      <w:suppressLineNumbers w:val="0"/>
      <w:jc w:val="center"/>
      <w:rPr>
        <w:rFonts w:hint="eastAsia" w:ascii="微软雅黑" w:hAnsi="微软雅黑" w:eastAsia="微软雅黑" w:cs="微软雅黑"/>
        <w:b w:val="0"/>
        <w:bCs w:val="0"/>
        <w:color w:val="BFBFBF" w:themeColor="background1" w:themeShade="BF"/>
        <w:sz w:val="10"/>
        <w:szCs w:val="13"/>
      </w:rPr>
    </w:pPr>
    <w:r>
      <w:rPr>
        <w:rFonts w:hint="eastAsia" w:ascii="微软雅黑" w:hAnsi="微软雅黑" w:eastAsia="微软雅黑" w:cs="微软雅黑"/>
        <w:b w:val="0"/>
        <w:bCs w:val="0"/>
        <w:i w:val="0"/>
        <w:iCs w:val="0"/>
        <w:caps w:val="0"/>
        <w:color w:val="BFBFBF" w:themeColor="background1" w:themeShade="BF"/>
        <w:spacing w:val="0"/>
        <w:kern w:val="0"/>
        <w:sz w:val="16"/>
        <w:szCs w:val="16"/>
        <w:u w:val="none"/>
        <w:lang w:val="en-US" w:eastAsia="zh-CN" w:bidi="ar"/>
      </w:rPr>
      <w:t>It does not replace professional medical advice and is not for human consumption.</w:t>
    </w:r>
  </w:p>
  <w:p w14:paraId="0F7563B8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A945B">
    <w:pPr>
      <w:keepNext w:val="0"/>
      <w:keepLines w:val="0"/>
      <w:widowControl/>
      <w:suppressLineNumbers w:val="0"/>
      <w:jc w:val="center"/>
      <w:rPr>
        <w:rFonts w:hint="eastAsia" w:ascii="微软雅黑" w:hAnsi="微软雅黑" w:eastAsia="微软雅黑" w:cs="微软雅黑"/>
        <w:b w:val="0"/>
        <w:bCs w:val="0"/>
        <w:color w:val="BFBFBF" w:themeColor="background1" w:themeShade="BF"/>
        <w:sz w:val="15"/>
        <w:szCs w:val="15"/>
      </w:rPr>
    </w:pPr>
    <w:r>
      <w:rPr>
        <w:rFonts w:hint="eastAsia" w:ascii="微软雅黑" w:hAnsi="微软雅黑" w:eastAsia="微软雅黑" w:cs="微软雅黑"/>
        <w:color w:val="BFBFBF" w:themeColor="background1" w:themeShade="BF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2224405</wp:posOffset>
          </wp:positionH>
          <wp:positionV relativeFrom="paragraph">
            <wp:posOffset>-318770</wp:posOffset>
          </wp:positionV>
          <wp:extent cx="793115" cy="179705"/>
          <wp:effectExtent l="0" t="0" r="6985" b="10795"/>
          <wp:wrapNone/>
          <wp:docPr id="1" name="图片 1" descr="Final Logo_maisiechen416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Final Logo_maisiechen416-03"/>
                  <pic:cNvPicPr>
                    <a:picLocks noChangeAspect="1"/>
                  </pic:cNvPicPr>
                </pic:nvPicPr>
                <pic:blipFill>
                  <a:blip r:embed="rId1"/>
                  <a:srcRect l="11874" t="37881" r="12464" b="37864"/>
                  <a:stretch>
                    <a:fillRect/>
                  </a:stretch>
                </pic:blipFill>
                <pic:spPr>
                  <a:xfrm>
                    <a:off x="0" y="0"/>
                    <a:ext cx="793115" cy="17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微软雅黑" w:hAnsi="微软雅黑" w:eastAsia="微软雅黑" w:cs="微软雅黑"/>
        <w:b w:val="0"/>
        <w:bCs w:val="0"/>
        <w:color w:val="BFBFBF" w:themeColor="background1" w:themeShade="BF"/>
        <w:sz w:val="15"/>
        <w:szCs w:val="15"/>
        <w:lang w:eastAsia="zh-CN"/>
      </w:rPr>
      <w:t>Research Use Only</w:t>
    </w:r>
    <w:r>
      <w:rPr>
        <w:rFonts w:hint="eastAsia" w:ascii="微软雅黑" w:hAnsi="微软雅黑" w:eastAsia="微软雅黑" w:cs="微软雅黑"/>
        <w:b w:val="0"/>
        <w:bCs w:val="0"/>
        <w:color w:val="BFBFBF" w:themeColor="background1" w:themeShade="BF"/>
        <w:sz w:val="15"/>
        <w:szCs w:val="15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 w:val="0"/>
        <w:bCs w:val="0"/>
        <w:i w:val="0"/>
        <w:iCs w:val="0"/>
        <w:caps w:val="0"/>
        <w:color w:val="BFBFBF" w:themeColor="background1" w:themeShade="BF"/>
        <w:spacing w:val="0"/>
        <w:kern w:val="0"/>
        <w:sz w:val="15"/>
        <w:szCs w:val="15"/>
        <w:u w:val="none"/>
        <w:lang w:val="en-US" w:eastAsia="zh-CN" w:bidi="ar"/>
      </w:rPr>
      <w:t>– Not Medical Advice, Not For Human Use</w:t>
    </w:r>
  </w:p>
  <w:p w14:paraId="0C9E8A39">
    <w:pPr>
      <w:pStyle w:val="6"/>
    </w:pPr>
    <w:bookmarkStart w:id="0" w:name="_GoBack"/>
    <w:bookmarkEnd w:id="0"/>
    <w:r>
      <w:rPr>
        <w:sz w:val="18"/>
      </w:rPr>
      <w:pict>
        <v:shape id="PowerPlusWaterMarkObject124791" o:spid="_x0000_s2049" o:spt="136" type="#_x0000_t136" style="position:absolute;left:0pt;height:69.4pt;width:517.8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Research UseOnly " style="font-family:黑体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513E5"/>
    <w:rsid w:val="6175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2026-09-30T07:33:00Z</dcterms:created>
  <dc:creator>一颗橘</dc:creator>
  <cp:lastModifiedBy>一颗橘</cp:lastModifiedBy>
  <dcterms:modified xsi:type="dcterms:W3CDTF">2026-09-30T07:52:44Z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DA4B9E3706D149489E0CFF62652CAFCE_11</vt:lpwstr>
  </property>
  <property fmtid="{D5CDD505-2E9C-101B-9397-08002B2CF9AE}" pid="4" name="KSOTemplateDocerSaveRecord">
    <vt:lpwstr>eyJoZGlkIjoiZjVhNGJiMWVmZTg4ZjFhYWZhYWFiMzBkODkwYWRkZmUiLCJ1c2VySWQiOiIxMDg3MzM0MTkzIn0=</vt:lpwstr>
  </property>
</Properties>
</file>