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2A07B">
      <w:pPr>
        <w:pStyle w:val="2"/>
        <w:keepNext w:val="0"/>
        <w:keepLines w:val="0"/>
        <w:widowControl/>
        <w:suppressLineNumbers w:val="0"/>
        <w:spacing w:before="160" w:beforeAutospacing="0" w:after="160" w:afterAutospacing="0" w:line="280" w:lineRule="atLeast"/>
        <w:ind w:left="440" w:right="440"/>
        <w:jc w:val="center"/>
        <w:rPr>
          <w:sz w:val="28"/>
          <w:szCs w:val="28"/>
        </w:rPr>
      </w:pPr>
      <w:r>
        <w:rPr>
          <w:rFonts w:ascii="Segoe UI" w:hAnsi="Segoe UI" w:eastAsia="Segoe UI" w:cs="Segoe UI"/>
          <w:b/>
          <w:bCs/>
          <w:i w:val="0"/>
          <w:iCs w:val="0"/>
          <w:caps w:val="0"/>
          <w:color w:val="0F1115"/>
          <w:spacing w:val="0"/>
          <w:sz w:val="28"/>
          <w:szCs w:val="28"/>
          <w:shd w:val="clear" w:fill="FFFFFF"/>
        </w:rPr>
        <w:t xml:space="preserve">Pinealon Dosage Protocol Comprehensive Guide </w:t>
      </w:r>
      <w:r>
        <w:rPr>
          <w:rFonts w:hint="eastAsia" w:ascii="Segoe UI" w:hAnsi="Segoe UI" w:eastAsia="宋体" w:cs="Segoe UI"/>
          <w:b/>
          <w:bCs/>
          <w:i w:val="0"/>
          <w:iCs w:val="0"/>
          <w:caps w:val="0"/>
          <w:color w:val="0F1115"/>
          <w:spacing w:val="0"/>
          <w:sz w:val="28"/>
          <w:szCs w:val="28"/>
          <w:shd w:val="clear" w:fill="FFFFFF"/>
          <w:lang w:val="en-US" w:eastAsia="zh-CN"/>
        </w:rPr>
        <w:t xml:space="preserve">    </w:t>
      </w:r>
      <w:r>
        <w:rPr>
          <w:rFonts w:ascii="Segoe UI" w:hAnsi="Segoe UI" w:eastAsia="Segoe UI" w:cs="Segoe UI"/>
          <w:b/>
          <w:bCs/>
          <w:i w:val="0"/>
          <w:iCs w:val="0"/>
          <w:caps w:val="0"/>
          <w:color w:val="0F1115"/>
          <w:spacing w:val="0"/>
          <w:sz w:val="28"/>
          <w:szCs w:val="28"/>
          <w:shd w:val="clear" w:fill="FFFFFF"/>
        </w:rPr>
        <w:t>(20 mg Specification)</w:t>
      </w:r>
    </w:p>
    <w:p w14:paraId="0FBCDF9D">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I. Overview</w:t>
      </w:r>
    </w:p>
    <w:p w14:paraId="04EBCEB0">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Pinealon is a synthetic tripeptide bioregulator (Glu-Asp-Arg) developed under Professor Vladimir Khavinson's extensive peptide research program [1][2]. This neuroprotective peptide has been studied for protecting neurons against oxidative stress, supporting cognitive function, and modulating gene expression in brain tissue [3][4].</w:t>
      </w:r>
    </w:p>
    <w:p w14:paraId="7DECDE1B">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In educational protocols, Pinealon is typically administered via subcutaneous injection at a daily dose of 1 mg–2 mg. A 20 mg vial reconstituted with bacteriostatic water yields a concentration of approximately 6.67 mg/mL.</w:t>
      </w:r>
    </w:p>
    <w:p w14:paraId="02310AE6">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This guide covers the dosage protocol for the 20 mg specification of Pinealon.</w:t>
      </w:r>
    </w:p>
    <w:p w14:paraId="2A59261C">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II. Dosage and Reconstitution Guide</w:t>
      </w:r>
    </w:p>
    <w:p w14:paraId="79B7C652">
      <w:pPr>
        <w:pStyle w:val="2"/>
        <w:keepNext w:val="0"/>
        <w:keepLines w:val="0"/>
        <w:widowControl/>
        <w:suppressLineNumbers w:val="0"/>
        <w:spacing w:before="160" w:beforeAutospacing="0" w:after="160" w:afterAutospacing="0" w:line="280" w:lineRule="atLeast"/>
        <w:ind w:right="440"/>
        <w:rPr>
          <w:sz w:val="18"/>
          <w:szCs w:val="18"/>
        </w:rPr>
      </w:pPr>
      <w:r>
        <w:rPr>
          <w:rFonts w:hint="default" w:ascii="Segoe UI" w:hAnsi="Segoe UI" w:eastAsia="Segoe UI" w:cs="Segoe UI"/>
          <w:b/>
          <w:bCs/>
          <w:i w:val="0"/>
          <w:iCs w:val="0"/>
          <w:caps w:val="0"/>
          <w:color w:val="0F1115"/>
          <w:spacing w:val="0"/>
          <w:sz w:val="18"/>
          <w:szCs w:val="18"/>
          <w:shd w:val="clear" w:fill="FFFFFF"/>
        </w:rPr>
        <w:t>2.1 20 mg Specification</w:t>
      </w:r>
    </w:p>
    <w:p w14:paraId="75EF5DF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Reconstitution: Add 3.0 mL bacteriostatic water → concentration approximately 6.67 mg/mL</w:t>
      </w:r>
    </w:p>
    <w:p w14:paraId="68FBB45F">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U-100 insulin syringe conversion: 1 unit = 0.01 mL ≈ 66.67 mcg</w:t>
      </w:r>
    </w:p>
    <w:p w14:paraId="22F94FA1">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Post-reconstitution shelf life: Use under refrigeration (2–8°C); avoid freeze-thaw cycles</w:t>
      </w:r>
    </w:p>
    <w:p w14:paraId="7343558F">
      <w:pPr>
        <w:pStyle w:val="2"/>
        <w:keepNext w:val="0"/>
        <w:keepLines w:val="0"/>
        <w:widowControl/>
        <w:suppressLineNumbers w:val="0"/>
        <w:spacing w:before="160" w:beforeAutospacing="0" w:after="160" w:afterAutospacing="0" w:line="280" w:lineRule="atLeast"/>
        <w:ind w:right="440"/>
        <w:rPr>
          <w:sz w:val="15"/>
          <w:szCs w:val="15"/>
        </w:rPr>
      </w:pPr>
      <w:r>
        <w:rPr>
          <w:rFonts w:hint="default" w:ascii="Segoe UI" w:hAnsi="Segoe UI" w:eastAsia="Segoe UI" w:cs="Segoe UI"/>
          <w:i w:val="0"/>
          <w:iCs w:val="0"/>
          <w:caps w:val="0"/>
          <w:color w:val="0F1115"/>
          <w:spacing w:val="0"/>
          <w:sz w:val="15"/>
          <w:szCs w:val="15"/>
          <w:shd w:val="clear" w:fill="FFFFFF"/>
        </w:rPr>
        <w:t>Standard protocol (concentration 6.67 mg/mL):</w:t>
      </w:r>
    </w:p>
    <w:tbl>
      <w:tblPr>
        <w:tblW w:w="0" w:type="auto"/>
        <w:tblInd w:w="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931"/>
        <w:gridCol w:w="1597"/>
        <w:gridCol w:w="1610"/>
        <w:gridCol w:w="1011"/>
      </w:tblGrid>
      <w:tr w14:paraId="0226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931"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7B3CB22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Day</w:t>
            </w:r>
          </w:p>
        </w:tc>
        <w:tc>
          <w:tcPr>
            <w:tcW w:w="159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0A9711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Daily Dose</w:t>
            </w:r>
          </w:p>
        </w:tc>
        <w:tc>
          <w:tcPr>
            <w:tcW w:w="1610"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824C06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Injection Volume (mL)</w:t>
            </w:r>
          </w:p>
        </w:tc>
        <w:tc>
          <w:tcPr>
            <w:tcW w:w="101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53D9BD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Units</w:t>
            </w:r>
          </w:p>
        </w:tc>
      </w:tr>
      <w:tr w14:paraId="5E408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31"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856145E">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Days 1–5</w:t>
            </w:r>
          </w:p>
        </w:tc>
        <w:tc>
          <w:tcPr>
            <w:tcW w:w="159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9CC2D9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mg (1,000 mcg)</w:t>
            </w:r>
          </w:p>
        </w:tc>
        <w:tc>
          <w:tcPr>
            <w:tcW w:w="1610"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44925A8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0.15 mL</w:t>
            </w:r>
          </w:p>
        </w:tc>
        <w:tc>
          <w:tcPr>
            <w:tcW w:w="101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77D9C06A">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15 units</w:t>
            </w:r>
          </w:p>
        </w:tc>
      </w:tr>
      <w:tr w14:paraId="42B5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31"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7006E70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Days 6–14</w:t>
            </w:r>
          </w:p>
        </w:tc>
        <w:tc>
          <w:tcPr>
            <w:tcW w:w="159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3A90583">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1.5 mg (1,500 mcg)</w:t>
            </w:r>
          </w:p>
        </w:tc>
        <w:tc>
          <w:tcPr>
            <w:tcW w:w="1610"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80C1005">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0.225 mL</w:t>
            </w:r>
          </w:p>
        </w:tc>
        <w:tc>
          <w:tcPr>
            <w:tcW w:w="101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122F172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22.5 units</w:t>
            </w:r>
          </w:p>
        </w:tc>
      </w:tr>
      <w:tr w14:paraId="55C84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31"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463B8DB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Days 15–20</w:t>
            </w:r>
          </w:p>
        </w:tc>
        <w:tc>
          <w:tcPr>
            <w:tcW w:w="159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7400417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 mg (2,000 mcg)</w:t>
            </w:r>
          </w:p>
        </w:tc>
        <w:tc>
          <w:tcPr>
            <w:tcW w:w="1610"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A5EECB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0.30 mL</w:t>
            </w:r>
          </w:p>
        </w:tc>
        <w:tc>
          <w:tcPr>
            <w:tcW w:w="101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4DEF724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30 units</w:t>
            </w:r>
          </w:p>
        </w:tc>
      </w:tr>
    </w:tbl>
    <w:p w14:paraId="778B5528">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Injection frequency: Once daily (subcutaneous), preferably in the morning or early afternoon</w:t>
      </w:r>
    </w:p>
    <w:p w14:paraId="57BED6D7">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Cycle length: Standard 10–20 days; optionally extended to 28 days; cycle may be repeated every 2–3 months</w:t>
      </w:r>
    </w:p>
    <w:p w14:paraId="6F3AA491">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III. Reconstitution Steps (General)</w:t>
      </w:r>
    </w:p>
    <w:p w14:paraId="523F76D0">
      <w:pPr>
        <w:pStyle w:val="2"/>
        <w:keepNext w:val="0"/>
        <w:keepLines w:val="0"/>
        <w:widowControl/>
        <w:suppressLineNumbers w:val="0"/>
        <w:spacing w:before="0" w:beforeAutospacing="0" w:after="0" w:afterAutospacing="0" w:line="280" w:lineRule="atLeast"/>
        <w:ind w:right="440"/>
      </w:pPr>
      <w:r>
        <w:rPr>
          <w:rFonts w:hint="eastAsia" w:ascii="Segoe UI" w:hAnsi="Segoe UI" w:eastAsia="宋体" w:cs="Segoe UI"/>
          <w:i w:val="0"/>
          <w:iCs w:val="0"/>
          <w:caps w:val="0"/>
          <w:color w:val="0F1115"/>
          <w:spacing w:val="0"/>
          <w:sz w:val="24"/>
          <w:szCs w:val="24"/>
          <w:shd w:val="clear" w:fill="FFFFFF"/>
          <w:lang w:val="en-US" w:eastAsia="zh-CN"/>
        </w:rPr>
        <w:t>1、</w:t>
      </w:r>
      <w:r>
        <w:rPr>
          <w:rFonts w:hint="default" w:ascii="Segoe UI" w:hAnsi="Segoe UI" w:eastAsia="Segoe UI" w:cs="Segoe UI"/>
          <w:i w:val="0"/>
          <w:iCs w:val="0"/>
          <w:caps w:val="0"/>
          <w:color w:val="0F1115"/>
          <w:spacing w:val="0"/>
          <w:sz w:val="24"/>
          <w:szCs w:val="24"/>
          <w:shd w:val="clear" w:fill="FFFFFF"/>
        </w:rPr>
        <w:t>Draw 3.0 mL bacteriostatic water with a sterile syringe</w:t>
      </w:r>
    </w:p>
    <w:p w14:paraId="37D2A709">
      <w:pPr>
        <w:pStyle w:val="2"/>
        <w:keepNext w:val="0"/>
        <w:keepLines w:val="0"/>
        <w:widowControl/>
        <w:suppressLineNumbers w:val="0"/>
        <w:spacing w:before="0" w:beforeAutospacing="0" w:after="0" w:afterAutospacing="0" w:line="280" w:lineRule="atLeast"/>
        <w:ind w:right="440"/>
      </w:pPr>
      <w:r>
        <w:rPr>
          <w:rFonts w:hint="eastAsia" w:ascii="Segoe UI" w:hAnsi="Segoe UI" w:eastAsia="宋体" w:cs="Segoe UI"/>
          <w:i w:val="0"/>
          <w:iCs w:val="0"/>
          <w:caps w:val="0"/>
          <w:color w:val="0F1115"/>
          <w:spacing w:val="0"/>
          <w:sz w:val="24"/>
          <w:szCs w:val="24"/>
          <w:shd w:val="clear" w:fill="FFFFFF"/>
          <w:lang w:val="en-US" w:eastAsia="zh-CN"/>
        </w:rPr>
        <w:t>2、</w:t>
      </w:r>
      <w:r>
        <w:rPr>
          <w:rFonts w:hint="default" w:ascii="Segoe UI" w:hAnsi="Segoe UI" w:eastAsia="Segoe UI" w:cs="Segoe UI"/>
          <w:i w:val="0"/>
          <w:iCs w:val="0"/>
          <w:caps w:val="0"/>
          <w:color w:val="0F1115"/>
          <w:spacing w:val="0"/>
          <w:sz w:val="24"/>
          <w:szCs w:val="24"/>
          <w:shd w:val="clear" w:fill="FFFFFF"/>
        </w:rPr>
        <w:t>Slowly inject along the vial wall, avoiding foam formation</w:t>
      </w:r>
    </w:p>
    <w:p w14:paraId="6F237EC8">
      <w:pPr>
        <w:pStyle w:val="2"/>
        <w:keepNext w:val="0"/>
        <w:keepLines w:val="0"/>
        <w:widowControl/>
        <w:suppressLineNumbers w:val="0"/>
        <w:spacing w:before="0" w:beforeAutospacing="0" w:after="0" w:afterAutospacing="0" w:line="280" w:lineRule="atLeast"/>
        <w:ind w:right="440"/>
        <w:rPr>
          <w:rFonts w:hint="default" w:ascii="Segoe UI" w:hAnsi="Segoe UI" w:eastAsia="Segoe UI" w:cs="Segoe UI"/>
          <w:i w:val="0"/>
          <w:iCs w:val="0"/>
          <w:caps w:val="0"/>
          <w:color w:val="0F1115"/>
          <w:spacing w:val="0"/>
          <w:sz w:val="24"/>
          <w:szCs w:val="24"/>
          <w:shd w:val="clear" w:fill="FFFFFF"/>
        </w:rPr>
      </w:pPr>
      <w:r>
        <w:rPr>
          <w:rFonts w:hint="eastAsia" w:ascii="Segoe UI" w:hAnsi="Segoe UI" w:eastAsia="宋体" w:cs="Segoe UI"/>
          <w:i w:val="0"/>
          <w:iCs w:val="0"/>
          <w:caps w:val="0"/>
          <w:color w:val="0F1115"/>
          <w:spacing w:val="0"/>
          <w:sz w:val="24"/>
          <w:szCs w:val="24"/>
          <w:shd w:val="clear" w:fill="FFFFFF"/>
          <w:lang w:val="en-US" w:eastAsia="zh-CN"/>
        </w:rPr>
        <w:t>3、</w:t>
      </w:r>
      <w:r>
        <w:rPr>
          <w:rFonts w:hint="default" w:ascii="Segoe UI" w:hAnsi="Segoe UI" w:eastAsia="Segoe UI" w:cs="Segoe UI"/>
          <w:i w:val="0"/>
          <w:iCs w:val="0"/>
          <w:caps w:val="0"/>
          <w:color w:val="0F1115"/>
          <w:spacing w:val="0"/>
          <w:sz w:val="24"/>
          <w:szCs w:val="24"/>
          <w:shd w:val="clear" w:fill="FFFFFF"/>
        </w:rPr>
        <w:t>Gently swirl/roll until fully dissolved (do not shake vigorously)</w:t>
      </w:r>
    </w:p>
    <w:p w14:paraId="11005F95">
      <w:pPr>
        <w:pStyle w:val="2"/>
        <w:keepNext w:val="0"/>
        <w:keepLines w:val="0"/>
        <w:widowControl/>
        <w:suppressLineNumbers w:val="0"/>
        <w:spacing w:before="0" w:beforeAutospacing="0" w:after="0" w:afterAutospacing="0" w:line="280" w:lineRule="atLeast"/>
        <w:ind w:right="440"/>
      </w:pPr>
      <w:r>
        <w:rPr>
          <w:rFonts w:hint="eastAsia" w:ascii="Segoe UI" w:hAnsi="Segoe UI" w:eastAsia="宋体" w:cs="Segoe UI"/>
          <w:i w:val="0"/>
          <w:iCs w:val="0"/>
          <w:caps w:val="0"/>
          <w:color w:val="0F1115"/>
          <w:spacing w:val="0"/>
          <w:sz w:val="24"/>
          <w:szCs w:val="24"/>
          <w:shd w:val="clear" w:fill="FFFFFF"/>
          <w:lang w:val="en-US" w:eastAsia="zh-CN"/>
        </w:rPr>
        <w:t>4、</w:t>
      </w:r>
      <w:r>
        <w:rPr>
          <w:rFonts w:hint="default" w:ascii="Segoe UI" w:hAnsi="Segoe UI" w:eastAsia="Segoe UI" w:cs="Segoe UI"/>
          <w:i w:val="0"/>
          <w:iCs w:val="0"/>
          <w:caps w:val="0"/>
          <w:color w:val="0F1115"/>
          <w:spacing w:val="0"/>
          <w:sz w:val="24"/>
          <w:szCs w:val="24"/>
          <w:shd w:val="clear" w:fill="FFFFFF"/>
        </w:rPr>
        <w:t>Label with reconstitution date and concentration, store refrigerated (2–8°C / 35.6–46.4°F), protected from light</w:t>
      </w:r>
    </w:p>
    <w:p w14:paraId="57A42FC4">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IV. Required Supplies</w:t>
      </w:r>
    </w:p>
    <w:p w14:paraId="0F05945C">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Plan is based on a standard 10–20 day cycle with once-daily administration.</w:t>
      </w:r>
    </w:p>
    <w:p w14:paraId="2A8F5003">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b/>
          <w:bCs/>
          <w:i w:val="0"/>
          <w:iCs w:val="0"/>
          <w:caps w:val="0"/>
          <w:color w:val="0F1115"/>
          <w:spacing w:val="0"/>
          <w:sz w:val="13"/>
          <w:szCs w:val="13"/>
          <w:shd w:val="clear" w:fill="FFFFFF"/>
        </w:rPr>
        <w:t>4.1 Peptide Vials (Pinealon, 20 mg per vial)</w:t>
      </w:r>
    </w:p>
    <w:tbl>
      <w:tblPr>
        <w:tblW w:w="3035" w:type="dxa"/>
        <w:tblInd w:w="6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276"/>
        <w:gridCol w:w="1759"/>
      </w:tblGrid>
      <w:tr w14:paraId="60990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27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0AFA1C29">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75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34E68E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Vials Needed</w:t>
            </w:r>
          </w:p>
        </w:tc>
      </w:tr>
      <w:tr w14:paraId="1803A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7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615FBC6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10-day cycle</w:t>
            </w:r>
          </w:p>
        </w:tc>
        <w:tc>
          <w:tcPr>
            <w:tcW w:w="175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678EFD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Approximately 1 vial</w:t>
            </w:r>
          </w:p>
        </w:tc>
      </w:tr>
      <w:tr w14:paraId="4868E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7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399C51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20-day cycle</w:t>
            </w:r>
          </w:p>
        </w:tc>
        <w:tc>
          <w:tcPr>
            <w:tcW w:w="175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0EEFBC9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Approximately 2 vials</w:t>
            </w:r>
          </w:p>
        </w:tc>
      </w:tr>
      <w:tr w14:paraId="4050C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76"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09F538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28-day cycle</w:t>
            </w:r>
          </w:p>
        </w:tc>
        <w:tc>
          <w:tcPr>
            <w:tcW w:w="175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27DC68C9">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Approximately 3 vials</w:t>
            </w:r>
          </w:p>
        </w:tc>
      </w:tr>
    </w:tbl>
    <w:p w14:paraId="6668438F">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b/>
          <w:bCs/>
          <w:i w:val="0"/>
          <w:iCs w:val="0"/>
          <w:caps w:val="0"/>
          <w:color w:val="0F1115"/>
          <w:spacing w:val="0"/>
          <w:sz w:val="13"/>
          <w:szCs w:val="13"/>
          <w:shd w:val="clear" w:fill="FFFFFF"/>
        </w:rPr>
        <w:t>4.2 Syringes (U-100 Insulin Syringes)</w:t>
      </w:r>
    </w:p>
    <w:tbl>
      <w:tblPr>
        <w:tblW w:w="2621" w:type="dxa"/>
        <w:tblInd w:w="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058"/>
        <w:gridCol w:w="1563"/>
      </w:tblGrid>
      <w:tr w14:paraId="307DD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105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4834CF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56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722200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Total</w:t>
            </w:r>
          </w:p>
        </w:tc>
      </w:tr>
      <w:tr w14:paraId="202D8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2D6C86D5">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10-day cycle</w:t>
            </w:r>
          </w:p>
        </w:tc>
        <w:tc>
          <w:tcPr>
            <w:tcW w:w="156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7F85623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syringes (1/day)</w:t>
            </w:r>
          </w:p>
        </w:tc>
      </w:tr>
      <w:tr w14:paraId="35BF2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3A96F30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20-day cycle</w:t>
            </w:r>
          </w:p>
        </w:tc>
        <w:tc>
          <w:tcPr>
            <w:tcW w:w="156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18C5D5E5">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 syringes (1/day)</w:t>
            </w:r>
          </w:p>
        </w:tc>
      </w:tr>
      <w:tr w14:paraId="013B5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5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2D62C7A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28-day cycle</w:t>
            </w:r>
          </w:p>
        </w:tc>
        <w:tc>
          <w:tcPr>
            <w:tcW w:w="1563"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7F0C3013">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28 syringes (1/day)</w:t>
            </w:r>
          </w:p>
        </w:tc>
      </w:tr>
    </w:tbl>
    <w:p w14:paraId="729ED27A">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b/>
          <w:bCs/>
          <w:i w:val="0"/>
          <w:iCs w:val="0"/>
          <w:caps w:val="0"/>
          <w:color w:val="0F1115"/>
          <w:spacing w:val="0"/>
          <w:sz w:val="13"/>
          <w:szCs w:val="13"/>
          <w:shd w:val="clear" w:fill="FFFFFF"/>
        </w:rPr>
        <w:t>4.3 Bacteriostatic Water (10 mL Bottle)</w:t>
      </w:r>
    </w:p>
    <w:p w14:paraId="598BE5B4">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Each vial uses 3.0 mL for reconstitution.</w:t>
      </w:r>
    </w:p>
    <w:tbl>
      <w:tblPr>
        <w:tblW w:w="0" w:type="auto"/>
        <w:tblInd w:w="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000"/>
        <w:gridCol w:w="1127"/>
        <w:gridCol w:w="1241"/>
        <w:gridCol w:w="1207"/>
      </w:tblGrid>
      <w:tr w14:paraId="190D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000"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0B8944B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12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FED9F37">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Vials Needed</w:t>
            </w:r>
          </w:p>
        </w:tc>
        <w:tc>
          <w:tcPr>
            <w:tcW w:w="124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602E09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Total Volume</w:t>
            </w:r>
          </w:p>
        </w:tc>
        <w:tc>
          <w:tcPr>
            <w:tcW w:w="120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22BA53B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mL Bottles</w:t>
            </w:r>
          </w:p>
        </w:tc>
      </w:tr>
      <w:tr w14:paraId="37FF3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00"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35518A6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days (1 vial)</w:t>
            </w:r>
          </w:p>
        </w:tc>
        <w:tc>
          <w:tcPr>
            <w:tcW w:w="112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0C5E2F35">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w:t>
            </w:r>
          </w:p>
        </w:tc>
        <w:tc>
          <w:tcPr>
            <w:tcW w:w="124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225926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3 mL</w:t>
            </w:r>
          </w:p>
        </w:tc>
        <w:tc>
          <w:tcPr>
            <w:tcW w:w="120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63E189D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 bottle</w:t>
            </w:r>
          </w:p>
        </w:tc>
      </w:tr>
      <w:tr w14:paraId="5571B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00"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97D7D6A">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 days (2 vials)</w:t>
            </w:r>
          </w:p>
        </w:tc>
        <w:tc>
          <w:tcPr>
            <w:tcW w:w="112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DEE3FCB">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w:t>
            </w:r>
          </w:p>
        </w:tc>
        <w:tc>
          <w:tcPr>
            <w:tcW w:w="124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7AE2F2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6 mL</w:t>
            </w:r>
          </w:p>
        </w:tc>
        <w:tc>
          <w:tcPr>
            <w:tcW w:w="120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5A055F5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 bottle</w:t>
            </w:r>
          </w:p>
        </w:tc>
      </w:tr>
      <w:tr w14:paraId="66999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000"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6CD65B5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28 days (3 vials)</w:t>
            </w:r>
          </w:p>
        </w:tc>
        <w:tc>
          <w:tcPr>
            <w:tcW w:w="112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674D9668">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3</w:t>
            </w:r>
          </w:p>
        </w:tc>
        <w:tc>
          <w:tcPr>
            <w:tcW w:w="1241"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87597F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9 mL</w:t>
            </w:r>
          </w:p>
        </w:tc>
        <w:tc>
          <w:tcPr>
            <w:tcW w:w="1207"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1FE598A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 bottle</w:t>
            </w:r>
          </w:p>
        </w:tc>
      </w:tr>
    </w:tbl>
    <w:p w14:paraId="4B95D99A">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b/>
          <w:bCs/>
          <w:i w:val="0"/>
          <w:iCs w:val="0"/>
          <w:caps w:val="0"/>
          <w:color w:val="0F1115"/>
          <w:spacing w:val="0"/>
          <w:sz w:val="13"/>
          <w:szCs w:val="13"/>
          <w:shd w:val="clear" w:fill="FFFFFF"/>
        </w:rPr>
        <w:t>4.4 Alcohol Swabs</w:t>
      </w:r>
    </w:p>
    <w:p w14:paraId="3614ABA6">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Used daily for both vial stopper and injection site.</w:t>
      </w:r>
    </w:p>
    <w:tbl>
      <w:tblPr>
        <w:tblW w:w="4529"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218"/>
        <w:gridCol w:w="1679"/>
        <w:gridCol w:w="1632"/>
      </w:tblGrid>
      <w:tr w14:paraId="5F7B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21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17400DC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Cycle</w:t>
            </w:r>
          </w:p>
        </w:tc>
        <w:tc>
          <w:tcPr>
            <w:tcW w:w="16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13F5A7E1">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Total</w:t>
            </w:r>
          </w:p>
        </w:tc>
        <w:tc>
          <w:tcPr>
            <w:tcW w:w="1632"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5B402830">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100-count/Box</w:t>
            </w:r>
          </w:p>
        </w:tc>
      </w:tr>
      <w:tr w14:paraId="2EA0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7668248C">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10 days</w:t>
            </w:r>
          </w:p>
        </w:tc>
        <w:tc>
          <w:tcPr>
            <w:tcW w:w="16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79CAABDD">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 swabs (2/day)</w:t>
            </w:r>
          </w:p>
        </w:tc>
        <w:tc>
          <w:tcPr>
            <w:tcW w:w="1632"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1F88820F">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t>
            </w:r>
          </w:p>
        </w:tc>
      </w:tr>
      <w:tr w14:paraId="7BB88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5871CCA7">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20 days</w:t>
            </w:r>
          </w:p>
        </w:tc>
        <w:tc>
          <w:tcPr>
            <w:tcW w:w="16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47DCF956">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40 swabs (2/day)</w:t>
            </w:r>
          </w:p>
        </w:tc>
        <w:tc>
          <w:tcPr>
            <w:tcW w:w="1632"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6D04FA12">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w:t>
            </w:r>
          </w:p>
        </w:tc>
      </w:tr>
      <w:tr w14:paraId="39A1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218" w:type="dxa"/>
            <w:tcBorders>
              <w:top w:val="single" w:color="auto" w:sz="4" w:space="0"/>
              <w:left w:val="single" w:color="auto" w:sz="4" w:space="0"/>
              <w:bottom w:val="single" w:color="auto" w:sz="4" w:space="0"/>
              <w:right w:val="single" w:color="auto" w:sz="4" w:space="0"/>
            </w:tcBorders>
            <w:shd w:val="clear"/>
            <w:tcMar>
              <w:top w:w="150" w:type="dxa"/>
              <w:left w:w="0" w:type="dxa"/>
              <w:bottom w:w="150" w:type="dxa"/>
              <w:right w:w="240" w:type="dxa"/>
            </w:tcMar>
            <w:vAlign w:val="center"/>
          </w:tcPr>
          <w:p w14:paraId="3145DFBE">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28 days</w:t>
            </w:r>
          </w:p>
        </w:tc>
        <w:tc>
          <w:tcPr>
            <w:tcW w:w="1679"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240" w:type="dxa"/>
            </w:tcMar>
            <w:vAlign w:val="center"/>
          </w:tcPr>
          <w:p w14:paraId="764964C4">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56 swabs (2/day)</w:t>
            </w:r>
          </w:p>
        </w:tc>
        <w:tc>
          <w:tcPr>
            <w:tcW w:w="1632" w:type="dxa"/>
            <w:tcBorders>
              <w:top w:val="single" w:color="auto" w:sz="4" w:space="0"/>
              <w:left w:val="single" w:color="auto" w:sz="4" w:space="0"/>
              <w:bottom w:val="single" w:color="auto" w:sz="4" w:space="0"/>
              <w:right w:val="single" w:color="auto" w:sz="4" w:space="0"/>
            </w:tcBorders>
            <w:shd w:val="clear"/>
            <w:tcMar>
              <w:top w:w="150" w:type="dxa"/>
              <w:left w:w="240" w:type="dxa"/>
              <w:bottom w:w="150" w:type="dxa"/>
              <w:right w:w="0" w:type="dxa"/>
            </w:tcMar>
            <w:vAlign w:val="center"/>
          </w:tcPr>
          <w:p w14:paraId="3CAFD349">
            <w:pPr>
              <w:keepNext w:val="0"/>
              <w:keepLines w:val="0"/>
              <w:widowControl/>
              <w:suppressLineNumbers w:val="0"/>
              <w:spacing w:line="250" w:lineRule="atLeast"/>
              <w:jc w:val="center"/>
              <w:rPr>
                <w:rFonts w:hint="default" w:ascii="Segoe UI" w:hAnsi="Segoe UI" w:eastAsia="Segoe UI" w:cs="Segoe UI"/>
                <w:sz w:val="11"/>
                <w:szCs w:val="11"/>
              </w:rPr>
            </w:pPr>
            <w:r>
              <w:rPr>
                <w:rFonts w:hint="default" w:ascii="Segoe UI" w:hAnsi="Segoe UI" w:eastAsia="Segoe UI" w:cs="Segoe UI"/>
                <w:kern w:val="0"/>
                <w:sz w:val="11"/>
                <w:szCs w:val="11"/>
                <w:bdr w:val="none" w:color="auto" w:sz="0" w:space="0"/>
                <w:lang w:val="en-US" w:eastAsia="zh-CN" w:bidi="ar"/>
              </w:rPr>
              <w:t>1 box recommended</w:t>
            </w:r>
          </w:p>
        </w:tc>
      </w:tr>
    </w:tbl>
    <w:p w14:paraId="7C1F7728">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V. Protocol Overview</w:t>
      </w:r>
    </w:p>
    <w:p w14:paraId="0BB28F75">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A concise daily summary.</w:t>
      </w:r>
    </w:p>
    <w:p w14:paraId="7AAC0ACC">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Goal: To support neuroprotection, cognitive function, and cellular resilience in brain tissue through peptide bioregulation [3]</w:t>
      </w:r>
    </w:p>
    <w:p w14:paraId="540DFF34">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Timing: Daily subcutaneous injection for 10–20 days (may extend to 28 days)</w:t>
      </w:r>
    </w:p>
    <w:p w14:paraId="480DD8C8">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Dosage range: 1.0–2.0 mg daily, with gradual titration</w:t>
      </w:r>
    </w:p>
    <w:p w14:paraId="4E682DD3">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Reconstitution: Add 3.0 mL per 20 mg vial (~6.67 mg/mL) for precise unit measurement</w:t>
      </w:r>
    </w:p>
    <w:p w14:paraId="7C968F0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Storage: Lyophilized powder frozen; refrigerated after reconstitution; avoid repeated freeze-thaw</w:t>
      </w:r>
    </w:p>
    <w:p w14:paraId="3D8B2075">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VI. Dosage Protocol</w:t>
      </w:r>
    </w:p>
    <w:p w14:paraId="36C030FD">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Recommended daily titration method.</w:t>
      </w:r>
    </w:p>
    <w:p w14:paraId="617DB484">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Start: 1.0 mg daily on Days 1–5 to assess tolerability</w:t>
      </w:r>
    </w:p>
    <w:p w14:paraId="79C329F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Escalate: 1.5 mg daily on Days 6–14</w:t>
      </w:r>
    </w:p>
    <w:p w14:paraId="03D545FD">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Target: 2.0 mg daily on Days 15–20 (or up to Day 28 if extending the cycle)</w:t>
      </w:r>
    </w:p>
    <w:p w14:paraId="112DDD8F">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Frequency: Once daily (subcutaneous), preferably in the morning or early afternoon</w:t>
      </w:r>
    </w:p>
    <w:p w14:paraId="72F19352">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Cycle length: Standard 10–20 days; repeat cycle every 2–3 months</w:t>
      </w:r>
    </w:p>
    <w:p w14:paraId="14380F90">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Timing: Same time daily; rotate injection sites</w:t>
      </w:r>
    </w:p>
    <w:p w14:paraId="03938C33">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VII. Storage Instructions</w:t>
      </w:r>
    </w:p>
    <w:p w14:paraId="4F1AF4D1">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Proper storage maintains peptide integrity and potency.</w:t>
      </w:r>
    </w:p>
    <w:p w14:paraId="7FE7A0B8">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Lyophilized: Store at −20°C (−4°F) in dry, dark conditions; minimize moisture exposure</w:t>
      </w:r>
    </w:p>
    <w:p w14:paraId="63B53110">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Reconstituted: Refrigerate at 2–8°C (35.6–46.4°F); aliquot if needed, avoid freeze-thaw</w:t>
      </w:r>
    </w:p>
    <w:p w14:paraId="01E8B483">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Allow vial to reach room temperature before opening to reduce condensation absorption</w:t>
      </w:r>
    </w:p>
    <w:p w14:paraId="45B101A3">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VIII. Important Notes</w:t>
      </w:r>
    </w:p>
    <w:p w14:paraId="6F973CF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Practical considerations for consistency and safety.</w:t>
      </w:r>
    </w:p>
    <w:p w14:paraId="66A3CAD2">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Use a new sterile insulin syringe for each injection; dispose of in a sharps container</w:t>
      </w:r>
    </w:p>
    <w:p w14:paraId="5BD757EA">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Rotate injection sites (abdomen, thigh, upper arm) to reduce local irritation</w:t>
      </w:r>
    </w:p>
    <w:p w14:paraId="05EE30C7">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Inject slowly; wait a few seconds before withdrawing the needle</w:t>
      </w:r>
    </w:p>
    <w:p w14:paraId="0509C91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Record daily dose and injection site for consistency</w:t>
      </w:r>
    </w:p>
    <w:p w14:paraId="593D3DE2">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Effects typically become apparent after 10–14 days of continuous administration</w:t>
      </w:r>
    </w:p>
    <w:p w14:paraId="4FC1D9D0">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IX. Potential Benefits and Side Effects</w:t>
      </w:r>
    </w:p>
    <w:p w14:paraId="2A3CA3D9">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Observations from preclinical and clinical literature.</w:t>
      </w:r>
    </w:p>
    <w:p w14:paraId="601C0472">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b/>
          <w:bCs/>
          <w:i w:val="0"/>
          <w:iCs w:val="0"/>
          <w:caps w:val="0"/>
          <w:color w:val="0F1115"/>
          <w:spacing w:val="0"/>
          <w:sz w:val="13"/>
          <w:szCs w:val="13"/>
          <w:shd w:val="clear" w:fill="FFFFFF"/>
        </w:rPr>
        <w:t>Potential Benefits:</w:t>
      </w:r>
    </w:p>
    <w:p w14:paraId="76BB4A9F">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Neuroprotection through reduction of oxidative stress and preservation of neuronal viability [3][9]</w:t>
      </w:r>
    </w:p>
    <w:p w14:paraId="47D6FB94">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Improved memory, learning ability, and cognitive function in animal and human studies [10][11]</w:t>
      </w:r>
    </w:p>
    <w:p w14:paraId="7B20AE03">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Modulation of caspase-3 activity may reduce apoptosis in neurons and other tissues [12]</w:t>
      </w:r>
    </w:p>
    <w:p w14:paraId="44C767A9">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Established pineal physiology links melatonin secretion to the light-dark cycle [14]. Pinealon research should use these measurable circadian endpoints when evaluating pineal function claims.</w:t>
      </w:r>
    </w:p>
    <w:p w14:paraId="4EFBA1C4">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b/>
          <w:bCs/>
          <w:i w:val="0"/>
          <w:iCs w:val="0"/>
          <w:caps w:val="0"/>
          <w:color w:val="0F1115"/>
          <w:spacing w:val="0"/>
          <w:sz w:val="13"/>
          <w:szCs w:val="13"/>
          <w:shd w:val="clear" w:fill="FFFFFF"/>
        </w:rPr>
        <w:t>Safety and Side Effects:</w:t>
      </w:r>
    </w:p>
    <w:p w14:paraId="766C923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Generally well tolerated; occasional mild injection site reactions (redness, itching) may occur with subcutaneous injection</w:t>
      </w:r>
    </w:p>
    <w:p w14:paraId="418F7650">
      <w:pPr>
        <w:pStyle w:val="2"/>
        <w:keepNext w:val="0"/>
        <w:keepLines w:val="0"/>
        <w:widowControl/>
        <w:suppressLineNumbers w:val="0"/>
        <w:spacing w:before="160" w:beforeAutospacing="0" w:after="160" w:afterAutospacing="0" w:line="280" w:lineRule="atLeast"/>
        <w:ind w:right="440"/>
        <w:rPr>
          <w:sz w:val="20"/>
          <w:szCs w:val="20"/>
        </w:rPr>
      </w:pPr>
      <w:r>
        <w:rPr>
          <w:rFonts w:hint="default" w:ascii="Segoe UI" w:hAnsi="Segoe UI" w:eastAsia="Segoe UI" w:cs="Segoe UI"/>
          <w:b/>
          <w:bCs/>
          <w:i w:val="0"/>
          <w:iCs w:val="0"/>
          <w:caps w:val="0"/>
          <w:color w:val="0F1115"/>
          <w:spacing w:val="0"/>
          <w:sz w:val="20"/>
          <w:szCs w:val="20"/>
          <w:shd w:val="clear" w:fill="FFFFFF"/>
        </w:rPr>
        <w:t>X. Injection Technique</w:t>
      </w:r>
    </w:p>
    <w:p w14:paraId="749D9A3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General guidance on subcutaneous injection from clinical best practice resources [16].</w:t>
      </w:r>
    </w:p>
    <w:p w14:paraId="12E03F4B">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Clean vial stopper and skin with alcohol; allow to air dry completely</w:t>
      </w:r>
      <w:bookmarkStart w:id="0" w:name="_GoBack"/>
      <w:bookmarkEnd w:id="0"/>
    </w:p>
    <w:p w14:paraId="2F4B430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Pinch a skin fold; insert needle at 45–90° angle into subcutaneous tissue [17][18]</w:t>
      </w:r>
    </w:p>
    <w:p w14:paraId="4BBA1F12">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Do not aspirate when injecting subcutaneously; inject slowly and steadily [17]</w:t>
      </w:r>
    </w:p>
    <w:p w14:paraId="7DC1D2FE">
      <w:pPr>
        <w:pStyle w:val="2"/>
        <w:keepNext w:val="0"/>
        <w:keepLines w:val="0"/>
        <w:widowControl/>
        <w:suppressLineNumbers w:val="0"/>
        <w:spacing w:before="160" w:beforeAutospacing="0" w:after="160" w:afterAutospacing="0" w:line="280" w:lineRule="atLeast"/>
        <w:ind w:right="440"/>
        <w:rPr>
          <w:sz w:val="13"/>
          <w:szCs w:val="13"/>
        </w:rPr>
      </w:pPr>
      <w:r>
        <w:rPr>
          <w:rFonts w:hint="default" w:ascii="Segoe UI" w:hAnsi="Segoe UI" w:eastAsia="Segoe UI" w:cs="Segoe UI"/>
          <w:i w:val="0"/>
          <w:iCs w:val="0"/>
          <w:caps w:val="0"/>
          <w:color w:val="0F1115"/>
          <w:spacing w:val="0"/>
          <w:sz w:val="13"/>
          <w:szCs w:val="13"/>
          <w:shd w:val="clear" w:fill="FFFFFF"/>
        </w:rPr>
        <w:t>Systematically rotate sites (abdomen, thigh, upper arm) to avoid lipohypertrophy [19]</w:t>
      </w:r>
    </w:p>
    <w:p w14:paraId="3C164A38">
      <w:pPr>
        <w:pStyle w:val="2"/>
        <w:keepNext w:val="0"/>
        <w:keepLines w:val="0"/>
        <w:widowControl/>
        <w:suppressLineNumbers w:val="0"/>
        <w:spacing w:before="160" w:beforeAutospacing="0" w:after="0" w:afterAutospacing="0" w:line="280" w:lineRule="atLeast"/>
        <w:ind w:right="440"/>
        <w:rPr>
          <w:sz w:val="16"/>
          <w:szCs w:val="16"/>
        </w:rPr>
      </w:pPr>
      <w:r>
        <w:rPr>
          <w:rFonts w:hint="default" w:ascii="Segoe UI" w:hAnsi="Segoe UI" w:eastAsia="Segoe UI" w:cs="Segoe UI"/>
          <w:b/>
          <w:bCs/>
          <w:i w:val="0"/>
          <w:iCs w:val="0"/>
          <w:caps w:val="0"/>
          <w:color w:val="FF0000"/>
          <w:spacing w:val="0"/>
          <w:sz w:val="16"/>
          <w:szCs w:val="16"/>
          <w:shd w:val="clear" w:fill="FFFFFF"/>
        </w:rPr>
        <w:t>Important Disclaimer:</w:t>
      </w:r>
      <w:r>
        <w:rPr>
          <w:rFonts w:hint="default" w:ascii="Segoe UI" w:hAnsi="Segoe UI" w:eastAsia="Segoe UI" w:cs="Segoe UI"/>
          <w:i w:val="0"/>
          <w:iCs w:val="0"/>
          <w:caps w:val="0"/>
          <w:color w:val="FF0000"/>
          <w:spacing w:val="0"/>
          <w:sz w:val="16"/>
          <w:szCs w:val="16"/>
          <w:shd w:val="clear" w:fill="FFFFFF"/>
        </w:rPr>
        <w:t xml:space="preserve"> </w:t>
      </w:r>
      <w:r>
        <w:rPr>
          <w:rFonts w:hint="default" w:ascii="Segoe UI" w:hAnsi="Segoe UI" w:eastAsia="Segoe UI" w:cs="Segoe UI"/>
          <w:i w:val="0"/>
          <w:iCs w:val="0"/>
          <w:caps w:val="0"/>
          <w:color w:val="0F1115"/>
          <w:spacing w:val="0"/>
          <w:sz w:val="16"/>
          <w:szCs w:val="16"/>
          <w:shd w:val="clear" w:fill="FFFFFF"/>
        </w:rPr>
        <w:t>This content is for educational and research reference only and does not constitute medical advice, diagnosis, or treatment. Pinealon is an investigational compound not approved by regulatory agencies for routine human therapeutic use. Consult a qualified healthcare professional before use.</w:t>
      </w:r>
    </w:p>
    <w:p w14:paraId="6FBCF0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EC2503"/>
    <w:rsid w:val="67EC25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91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2026-10-06T02:39:00Z</dcterms:created>
  <dc:creator>一颗橘</dc:creator>
  <cp:lastModifiedBy>一颗橘</cp:lastModifiedBy>
  <dcterms:modified xsi:type="dcterms:W3CDTF">2026-10-06T04:39:25Z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6367627EE1A64343877DE1885D9FDFFA_11</vt:lpwstr>
  </property>
  <property fmtid="{D5CDD505-2E9C-101B-9397-08002B2CF9AE}" pid="4" name="KSOTemplateDocerSaveRecord">
    <vt:lpwstr>eyJoZGlkIjoiZjVhNGJiMWVmZTg4ZjFhYWZhYWFiMzBkODkwYWRkZmUiLCJ1c2VySWQiOiIxMDg3MzM0MTkzIn0=</vt:lpwstr>
  </property>
</Properties>
</file>